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2D7154" w14:textId="77777777" w:rsidR="00993F49" w:rsidRPr="00CA7CCD" w:rsidRDefault="002C255A">
      <w:pPr>
        <w:pStyle w:val="Cuerpo"/>
        <w:jc w:val="center"/>
        <w:rPr>
          <w:b/>
          <w:bCs/>
          <w:lang w:val="es-US"/>
        </w:rPr>
      </w:pPr>
      <w:r w:rsidRPr="00CA7CCD">
        <w:rPr>
          <w:b/>
          <w:bCs/>
          <w:lang w:val="es-US"/>
        </w:rPr>
        <w:t>PRESENTACIÓN DEL LIBRO:  ABOLICIONISMO PENAL Y FEMINISMO ABOLICIONISTA (M. Román &amp; Iris Rosario, eds.) Editorial Emergente. 2025</w:t>
      </w:r>
    </w:p>
    <w:p w14:paraId="006149BC" w14:textId="77777777" w:rsidR="00993F49" w:rsidRPr="00CA7CCD" w:rsidRDefault="00993F49">
      <w:pPr>
        <w:pStyle w:val="Cuerpo"/>
        <w:jc w:val="center"/>
        <w:rPr>
          <w:b/>
          <w:bCs/>
          <w:lang w:val="es-US"/>
        </w:rPr>
      </w:pPr>
    </w:p>
    <w:p w14:paraId="2F5656D6" w14:textId="77777777" w:rsidR="00993F49" w:rsidRPr="00CA7CCD" w:rsidRDefault="002C255A">
      <w:pPr>
        <w:pStyle w:val="Cuerpo"/>
        <w:jc w:val="center"/>
        <w:rPr>
          <w:lang w:val="es-US"/>
        </w:rPr>
      </w:pPr>
      <w:r w:rsidRPr="00CA7CCD">
        <w:rPr>
          <w:lang w:val="es-US"/>
        </w:rPr>
        <w:t>FÉLIX A. LÓPEZ ROMÁN</w:t>
      </w:r>
    </w:p>
    <w:p w14:paraId="1E4E29A9" w14:textId="77777777" w:rsidR="00993F49" w:rsidRPr="00CA7CCD" w:rsidRDefault="002C255A">
      <w:pPr>
        <w:pStyle w:val="Cuerpo"/>
        <w:jc w:val="center"/>
        <w:rPr>
          <w:lang w:val="es-US"/>
        </w:rPr>
      </w:pPr>
      <w:r w:rsidRPr="00CA7CCD">
        <w:rPr>
          <w:lang w:val="es-US"/>
        </w:rPr>
        <w:t>ESCUELA DE DERECHO, UPRRP</w:t>
      </w:r>
    </w:p>
    <w:p w14:paraId="37A0F90F" w14:textId="77777777" w:rsidR="00993F49" w:rsidRPr="00CA7CCD" w:rsidRDefault="002C255A">
      <w:pPr>
        <w:pStyle w:val="Cuerpo"/>
        <w:jc w:val="center"/>
        <w:rPr>
          <w:lang w:val="es-US"/>
        </w:rPr>
      </w:pPr>
      <w:r w:rsidRPr="00CA7CCD">
        <w:rPr>
          <w:lang w:val="es-US"/>
        </w:rPr>
        <w:t>12 de septiembre de 2025</w:t>
      </w:r>
    </w:p>
    <w:p w14:paraId="357F84EC" w14:textId="77777777" w:rsidR="00993F49" w:rsidRPr="00CA7CCD" w:rsidRDefault="002C255A">
      <w:pPr>
        <w:pStyle w:val="Cuerpo"/>
        <w:jc w:val="center"/>
        <w:rPr>
          <w:lang w:val="es-US"/>
        </w:rPr>
      </w:pPr>
      <w:r w:rsidRPr="00CA7CCD">
        <w:rPr>
          <w:lang w:val="es-US"/>
        </w:rPr>
        <w:t xml:space="preserve">6:00pm </w:t>
      </w:r>
    </w:p>
    <w:p w14:paraId="781B2EB8" w14:textId="77777777" w:rsidR="00993F49" w:rsidRPr="00CA7CCD" w:rsidRDefault="00993F49">
      <w:pPr>
        <w:pStyle w:val="Cuerpo"/>
        <w:jc w:val="center"/>
        <w:rPr>
          <w:lang w:val="es-US"/>
        </w:rPr>
      </w:pPr>
    </w:p>
    <w:p w14:paraId="45DC32A4" w14:textId="77777777" w:rsidR="00993F49" w:rsidRPr="00CA7CCD" w:rsidRDefault="00993F49">
      <w:pPr>
        <w:pStyle w:val="Cuerpo"/>
        <w:jc w:val="center"/>
        <w:rPr>
          <w:lang w:val="es-US"/>
        </w:rPr>
      </w:pPr>
    </w:p>
    <w:p w14:paraId="2B8FA9B4" w14:textId="77777777" w:rsidR="00993F49" w:rsidRPr="00CA7CCD" w:rsidRDefault="00993F49">
      <w:pPr>
        <w:pStyle w:val="Cuerpo"/>
        <w:rPr>
          <w:lang w:val="es-US"/>
        </w:rPr>
      </w:pPr>
    </w:p>
    <w:p w14:paraId="416E15FD" w14:textId="77777777" w:rsidR="00993F49" w:rsidRPr="00CA7CCD" w:rsidRDefault="002C255A">
      <w:pPr>
        <w:pStyle w:val="Cuerpo"/>
        <w:spacing w:line="360" w:lineRule="auto"/>
        <w:jc w:val="both"/>
        <w:rPr>
          <w:sz w:val="28"/>
          <w:szCs w:val="28"/>
          <w:lang w:val="es-US"/>
        </w:rPr>
      </w:pPr>
      <w:r w:rsidRPr="00CA7CCD">
        <w:rPr>
          <w:sz w:val="28"/>
          <w:szCs w:val="28"/>
          <w:lang w:val="es-US"/>
        </w:rPr>
        <w:t xml:space="preserve">Buenas noches. Agradezco la invitación de las autoras para comentar el libro Abolicionismo Penal y Feminismo Abolicionista:  Diálogo Transdiciplinario.  Comenzaré con la descripción de un evento para luego ir hilvanando mi exposición con los diversos planteamientos que realizan las autoras en este libro. </w:t>
      </w:r>
    </w:p>
    <w:p w14:paraId="374E5C35" w14:textId="77777777" w:rsidR="00993F49" w:rsidRPr="00CA7CCD" w:rsidRDefault="00993F49">
      <w:pPr>
        <w:pStyle w:val="Cuerpo"/>
        <w:spacing w:line="360" w:lineRule="auto"/>
        <w:rPr>
          <w:sz w:val="28"/>
          <w:szCs w:val="28"/>
          <w:lang w:val="es-US"/>
        </w:rPr>
      </w:pPr>
    </w:p>
    <w:p w14:paraId="54343A2A" w14:textId="77777777" w:rsidR="00993F49" w:rsidRPr="00CA7CCD" w:rsidRDefault="002C255A">
      <w:pPr>
        <w:pStyle w:val="Cuerpo"/>
        <w:spacing w:line="360" w:lineRule="auto"/>
        <w:jc w:val="both"/>
        <w:rPr>
          <w:sz w:val="28"/>
          <w:szCs w:val="28"/>
          <w:lang w:val="es-US"/>
        </w:rPr>
      </w:pPr>
      <w:r w:rsidRPr="00CA7CCD">
        <w:rPr>
          <w:sz w:val="28"/>
          <w:szCs w:val="28"/>
          <w:lang w:val="es-US"/>
        </w:rPr>
        <w:t>En el año 2023 la selección española de fútbol femenino ganó la Copa Mundial Femenina de Fútbol. Era evidente la celebración y alegría ya que era la primera vez que el equipo femenino de futbol de España ganaba la Copa Mundial.  En la entrega de medallas las jugadoras iban subiendo a la tarima y recibían la medalla y el saludo de los distintos dirigentes. Todo ello en un ambiente de alegría y festejo. Cuando subió la capitana del equipo ésta fue saludando a cada uno de ellos hasta que se topó con el Preside</w:t>
      </w:r>
      <w:r w:rsidRPr="00CA7CCD">
        <w:rPr>
          <w:sz w:val="28"/>
          <w:szCs w:val="28"/>
          <w:lang w:val="es-US"/>
        </w:rPr>
        <w:t xml:space="preserve">nte de la Federación Española de Fútbol. La energía y la alegría habían aumentado; era la capitana del equipo y la máxima goleadora de toda la Copa.  El Presidente de la Federación y ella se dan un abrazo y en medio de la euforia de pronto ocurrió que el Presidente le da un beso de piquito en los labios a la capitana del equipo.  Todo siguió transcurriendo normal, las jugadoras iban pasando por la tarima y seguían celebrando, abrazándose y saludando a los directivos.  </w:t>
      </w:r>
    </w:p>
    <w:p w14:paraId="72A84016" w14:textId="77777777" w:rsidR="00993F49" w:rsidRPr="00CA7CCD" w:rsidRDefault="00993F49">
      <w:pPr>
        <w:pStyle w:val="Cuerpo"/>
        <w:spacing w:line="360" w:lineRule="auto"/>
        <w:jc w:val="both"/>
        <w:rPr>
          <w:sz w:val="28"/>
          <w:szCs w:val="28"/>
          <w:lang w:val="es-US"/>
        </w:rPr>
      </w:pPr>
    </w:p>
    <w:p w14:paraId="3BAF7C3C" w14:textId="77777777" w:rsidR="00993F49" w:rsidRPr="00CA7CCD" w:rsidRDefault="002C255A">
      <w:pPr>
        <w:pStyle w:val="Cuerpo"/>
        <w:spacing w:line="360" w:lineRule="auto"/>
        <w:jc w:val="both"/>
        <w:rPr>
          <w:sz w:val="28"/>
          <w:szCs w:val="28"/>
          <w:lang w:val="es-US"/>
        </w:rPr>
      </w:pPr>
      <w:r w:rsidRPr="00CA7CCD">
        <w:rPr>
          <w:sz w:val="28"/>
          <w:szCs w:val="28"/>
          <w:lang w:val="es-US"/>
        </w:rPr>
        <w:t>Minutos más tarde, en el camerino se transmite un vídeo por las redes sociales donde aparecen las jugadoras y dirigentes continuando la celebración.  La capitana del equipo, mientras bebía un espumoso, le cuenta a las compañeras, entre bromas, que el Presidente le había preguntado:  ¿un piquito? Y ella le había contestado que sí, que que iba a hacer. Entre bromas, las amigas le preguntaban si iba a ver boda y ella contestaba que no, que no le había gustado. Mientras tanto seguían riendo y celebrando.  Momen</w:t>
      </w:r>
      <w:r w:rsidRPr="00CA7CCD">
        <w:rPr>
          <w:sz w:val="28"/>
          <w:szCs w:val="28"/>
          <w:lang w:val="es-US"/>
        </w:rPr>
        <w:t xml:space="preserve">tos más tarde, en otro vídeo transmitido en vivo por las redes sociales desde el camerino se observa el  mismo Presidente de la Federación y la misma capitana del equipo con los brazos echados el uno con el otro, festejando y anunciándole al equipo que, como uno de los premios, les habían regalado a todas un viaje para Ibiza.  Inmediatamente, todos brincaron de alegría y siguieron la celebración, entre espumosos y algarabía. </w:t>
      </w:r>
    </w:p>
    <w:p w14:paraId="563DE788" w14:textId="77777777" w:rsidR="00993F49" w:rsidRPr="00CA7CCD" w:rsidRDefault="00993F49">
      <w:pPr>
        <w:pStyle w:val="Cuerpo"/>
        <w:spacing w:line="360" w:lineRule="auto"/>
        <w:jc w:val="both"/>
        <w:rPr>
          <w:sz w:val="28"/>
          <w:szCs w:val="28"/>
          <w:lang w:val="es-US"/>
        </w:rPr>
      </w:pPr>
    </w:p>
    <w:p w14:paraId="1FE82F2A" w14:textId="77777777" w:rsidR="00993F49" w:rsidRPr="00CA7CCD" w:rsidRDefault="002C255A">
      <w:pPr>
        <w:pStyle w:val="Cuerpo"/>
        <w:spacing w:line="360" w:lineRule="auto"/>
        <w:jc w:val="both"/>
        <w:rPr>
          <w:sz w:val="28"/>
          <w:szCs w:val="28"/>
          <w:lang w:val="es-US"/>
        </w:rPr>
      </w:pPr>
      <w:r w:rsidRPr="00CA7CCD">
        <w:rPr>
          <w:sz w:val="28"/>
          <w:szCs w:val="28"/>
          <w:lang w:val="es-US"/>
        </w:rPr>
        <w:t>La alegría y el festejo en el camerino desconocía que a través de las redes sociales y medios de comunicación se había levantado una ola de indignación por aquél “piquito” que se había visto en la tarima. Los medios de comunicación especulaban si había sido consentido o había sido un acto de imposición violenta por parte del Presidente. Se preguntaban si él le había pedido permiso previamente o si ella había contestado en la afirmativa o en la negación. Programas televisivos se dedicaron, por meses sino año</w:t>
      </w:r>
      <w:r w:rsidRPr="00CA7CCD">
        <w:rPr>
          <w:sz w:val="28"/>
          <w:szCs w:val="28"/>
          <w:lang w:val="es-US"/>
        </w:rPr>
        <w:t xml:space="preserve">s, a especular y hacer análisis de las imágenes de aquél momento:  que sí la posición de las manos, el brazo, la mirada, la presión emitida, entre otros. </w:t>
      </w:r>
    </w:p>
    <w:p w14:paraId="2966212C" w14:textId="77777777" w:rsidR="00993F49" w:rsidRPr="00CA7CCD" w:rsidRDefault="00993F49">
      <w:pPr>
        <w:pStyle w:val="Cuerpo"/>
        <w:spacing w:line="360" w:lineRule="auto"/>
        <w:jc w:val="both"/>
        <w:rPr>
          <w:sz w:val="28"/>
          <w:szCs w:val="28"/>
          <w:lang w:val="es-US"/>
        </w:rPr>
      </w:pPr>
    </w:p>
    <w:p w14:paraId="4E135054" w14:textId="77777777" w:rsidR="00993F49" w:rsidRPr="00CA7CCD" w:rsidRDefault="002C255A">
      <w:pPr>
        <w:pStyle w:val="Cuerpo"/>
        <w:spacing w:line="360" w:lineRule="auto"/>
        <w:jc w:val="both"/>
        <w:rPr>
          <w:sz w:val="28"/>
          <w:szCs w:val="28"/>
          <w:lang w:val="es-US"/>
        </w:rPr>
      </w:pPr>
      <w:r w:rsidRPr="00CA7CCD">
        <w:rPr>
          <w:sz w:val="28"/>
          <w:szCs w:val="28"/>
          <w:lang w:val="es-US"/>
        </w:rPr>
        <w:t xml:space="preserve">Los próximos días del evento la capitana del equipo y su madre participaron en diversos programas radiales para indicar que entre ellos había una relación de amistad profesional y que no había que amplificar aquél acto.  Sin embargo, ya el juicio mediático estaba emitido.  Por su parte el Presidente dio una conferencia de prensa que terminó inflamando el escándalo.  Ya los medios lo habían juzgado y cualquier cosa que dijera sería usada en su contra.  En aquella conferencia, hizo una crítica a lo que llamó </w:t>
      </w:r>
      <w:r w:rsidRPr="00CA7CCD">
        <w:rPr>
          <w:sz w:val="28"/>
          <w:szCs w:val="28"/>
          <w:lang w:val="es-US"/>
        </w:rPr>
        <w:t xml:space="preserve">un falso feminismo y cuestionó cómo un beso de “piquito" se había sexualizado; cuando hay besos de diversos matices:  besos de cariño, besos de celebración, besos seductores, besos de hermandad, besos de solidaridad, besos de aprecio, besos de alegría y hasta besos de muerte. </w:t>
      </w:r>
    </w:p>
    <w:p w14:paraId="55FD7AF5" w14:textId="77777777" w:rsidR="00993F49" w:rsidRPr="00CA7CCD" w:rsidRDefault="00993F49">
      <w:pPr>
        <w:pStyle w:val="Cuerpo"/>
        <w:spacing w:line="360" w:lineRule="auto"/>
        <w:jc w:val="both"/>
        <w:rPr>
          <w:sz w:val="28"/>
          <w:szCs w:val="28"/>
          <w:lang w:val="es-US"/>
        </w:rPr>
      </w:pPr>
    </w:p>
    <w:p w14:paraId="7862FE0A" w14:textId="77777777" w:rsidR="00993F49" w:rsidRPr="00BC2C78" w:rsidRDefault="002C255A">
      <w:pPr>
        <w:pStyle w:val="Cuerpo"/>
        <w:spacing w:line="360" w:lineRule="auto"/>
        <w:jc w:val="both"/>
        <w:rPr>
          <w:rStyle w:val="Ninguno"/>
          <w:sz w:val="28"/>
          <w:szCs w:val="28"/>
          <w:lang w:val="es-US"/>
        </w:rPr>
      </w:pPr>
      <w:r w:rsidRPr="00CA7CCD">
        <w:rPr>
          <w:sz w:val="28"/>
          <w:szCs w:val="28"/>
          <w:lang w:val="es-US"/>
        </w:rPr>
        <w:t xml:space="preserve">Aunque considero lo ocurrido como inapropiado, lo que llamó mi atención fue cómo un acto, el “piquito”, que no fue considerado, inicialmente, un problema mayor por los implicados, se fue convirtiendo en un conflicto hasta llegar a convertirse en delito y acusación a través del formalismo jurídico/penal. Casi por un año los medios de comunicación masivos y de redes estuvieron rentabilizando aquél acto: realizando entrevistas, análisis, interpretaciones de todo tipo.  </w:t>
      </w:r>
      <w:r w:rsidRPr="00BC2C78">
        <w:rPr>
          <w:sz w:val="28"/>
          <w:szCs w:val="28"/>
          <w:lang w:val="es-US"/>
        </w:rPr>
        <w:t xml:space="preserve">Con el tiempo el sujeto, que en otro momento fue Presidente de la Federación Española de Fútbol, se convirtió en acusado de agresión sexual y la subjetividad de la máxima goleadora y capitana del equipo se fue transformando en el de la víctima. Poco a poco a los implicados los fueron despojando del acto y los fueron despojando de su habla, de su palabra.  No fue que enmudecieron sino que comenzaron a hablar desde el lugar de la subjetividad impuesta por el sistema punitivo.  Uno como acusado y la otra como </w:t>
      </w:r>
      <w:r w:rsidRPr="00BC2C78">
        <w:rPr>
          <w:sz w:val="28"/>
          <w:szCs w:val="28"/>
          <w:lang w:val="es-US"/>
        </w:rPr>
        <w:t xml:space="preserve">víctima.  Me llamó la atención esa transformación del lugar desde dónde se habla.  El Presidente de la Federación terminó siendo acusado y condenado por un delito de agresión sexual.  La última vez que lo vi en una entrevista, antes de la condena, estaba en República Dominicana, denunciando cómo, por aquél acto, le habían despojado de todo:  de su trabajo, de su familia, de sus hijas e incluso le habían congelado todas sus cuentas bancarias y dinero.  </w:t>
      </w:r>
      <w:r w:rsidRPr="00BC2C78">
        <w:rPr>
          <w:rStyle w:val="Ninguno"/>
          <w:sz w:val="28"/>
          <w:szCs w:val="28"/>
          <w:lang w:val="es-US"/>
        </w:rPr>
        <w:t xml:space="preserve">Decía, en aquella entrevista, que hasta para comprarse una Coca Cola tenía que pedir permiso.  </w:t>
      </w:r>
    </w:p>
    <w:p w14:paraId="08B8BB33" w14:textId="77777777" w:rsidR="00993F49" w:rsidRPr="00BC2C78" w:rsidRDefault="00993F49">
      <w:pPr>
        <w:pStyle w:val="Cuerpo"/>
        <w:spacing w:line="360" w:lineRule="auto"/>
        <w:jc w:val="both"/>
        <w:rPr>
          <w:sz w:val="28"/>
          <w:szCs w:val="28"/>
          <w:lang w:val="es-US"/>
        </w:rPr>
      </w:pPr>
    </w:p>
    <w:p w14:paraId="31F246DB" w14:textId="77777777" w:rsidR="00993F49" w:rsidRPr="00BC2C78" w:rsidRDefault="002C255A">
      <w:pPr>
        <w:pStyle w:val="Cuerpo"/>
        <w:spacing w:line="360" w:lineRule="auto"/>
        <w:jc w:val="both"/>
        <w:rPr>
          <w:sz w:val="28"/>
          <w:szCs w:val="28"/>
          <w:lang w:val="es-US"/>
        </w:rPr>
      </w:pPr>
      <w:r w:rsidRPr="00BC2C78">
        <w:rPr>
          <w:sz w:val="28"/>
          <w:szCs w:val="28"/>
          <w:lang w:val="es-US"/>
        </w:rPr>
        <w:t>Por su parte la capitana del equipo, ahora víctima, no parecía liberada por un juicio que tampoco le hacía justicia.  Ella llegó a expresar, luego de su declaración ante el tribunal, que no querría revivir el proceso judicial y que se sentía harta y agotada por la situación.  Expresó que su vida había cambiado desde aquél momento y que no había podido vivir libremente.  Mencionó que tenía miedo de salir a la calle, no por el beso, sino porque se sentía perseguida por las cámaras, la prensa y la gente.  Incl</w:t>
      </w:r>
      <w:r w:rsidRPr="00BC2C78">
        <w:rPr>
          <w:sz w:val="28"/>
          <w:szCs w:val="28"/>
          <w:lang w:val="es-US"/>
        </w:rPr>
        <w:t xml:space="preserve">uso, se tuvo que mudar, con su familia, de su hogar en Madrid </w:t>
      </w:r>
      <w:r w:rsidRPr="00BC2C78">
        <w:rPr>
          <w:rStyle w:val="Ninguno"/>
          <w:strike/>
          <w:sz w:val="28"/>
          <w:szCs w:val="28"/>
          <w:lang w:val="es-US"/>
        </w:rPr>
        <w:t xml:space="preserve">y en algún momento expresó “no quiero salir a la calle, no quiero salir”. </w:t>
      </w:r>
      <w:r w:rsidRPr="00BC2C78">
        <w:rPr>
          <w:sz w:val="28"/>
          <w:szCs w:val="28"/>
          <w:lang w:val="es-US"/>
        </w:rPr>
        <w:t xml:space="preserve"> De hecho, este año no fue seleccionada como jugadora de la selección.  Quizás a veces ser víctima también es una forma de condena.  </w:t>
      </w:r>
    </w:p>
    <w:p w14:paraId="3695034B" w14:textId="77777777" w:rsidR="00993F49" w:rsidRPr="00BC2C78" w:rsidRDefault="00993F49">
      <w:pPr>
        <w:pStyle w:val="Cuerpo"/>
        <w:spacing w:line="360" w:lineRule="auto"/>
        <w:jc w:val="both"/>
        <w:rPr>
          <w:sz w:val="28"/>
          <w:szCs w:val="28"/>
          <w:lang w:val="es-US"/>
        </w:rPr>
      </w:pPr>
    </w:p>
    <w:p w14:paraId="0DAC35E2" w14:textId="77777777" w:rsidR="00993F49" w:rsidRPr="00BC2C78" w:rsidRDefault="002C255A">
      <w:pPr>
        <w:pStyle w:val="Cuerpo"/>
        <w:spacing w:line="360" w:lineRule="auto"/>
        <w:jc w:val="both"/>
        <w:rPr>
          <w:sz w:val="28"/>
          <w:szCs w:val="28"/>
          <w:lang w:val="es-US"/>
        </w:rPr>
      </w:pPr>
      <w:r w:rsidRPr="00BC2C78">
        <w:rPr>
          <w:sz w:val="28"/>
          <w:szCs w:val="28"/>
          <w:lang w:val="es-US"/>
        </w:rPr>
        <w:t>Aquí no hay un sólo condenado. Son dos personas condenadas por todo un sistema y un lenguaje jurídico/penal que va más allá de los tribunales o de las leyes, y  que está insertado en formas de apalabrar los conflictos, desde medios de comunicación, redes sociales y otras instancias.  No hay una víctima y un victimario, quizás ambos son víctimas de las violencias de terceros que convirtieron aquél acto en delito moral y penal y que, por lo tanto, los sujetó y condicionó a responder desde ese sistema.  Son do</w:t>
      </w:r>
      <w:r w:rsidRPr="00BC2C78">
        <w:rPr>
          <w:sz w:val="28"/>
          <w:szCs w:val="28"/>
          <w:lang w:val="es-US"/>
        </w:rPr>
        <w:t xml:space="preserve">s cuerpos a los cuáles le fue despojado el habla y la capacidad de manejar aquella situación desde otros lugares fuera de la moralidad punitiva.  </w:t>
      </w:r>
    </w:p>
    <w:p w14:paraId="229BC637" w14:textId="77777777" w:rsidR="00993F49" w:rsidRPr="00BC2C78" w:rsidRDefault="00993F49">
      <w:pPr>
        <w:pStyle w:val="Cuerpo"/>
        <w:spacing w:line="360" w:lineRule="auto"/>
        <w:jc w:val="both"/>
        <w:rPr>
          <w:sz w:val="28"/>
          <w:szCs w:val="28"/>
          <w:lang w:val="es-US"/>
        </w:rPr>
      </w:pPr>
    </w:p>
    <w:p w14:paraId="4D0FFEC7" w14:textId="77777777" w:rsidR="00993F49" w:rsidRPr="00BC2C78" w:rsidRDefault="002C255A">
      <w:pPr>
        <w:pStyle w:val="Cuerpo"/>
        <w:spacing w:line="360" w:lineRule="auto"/>
        <w:jc w:val="both"/>
        <w:rPr>
          <w:sz w:val="28"/>
          <w:szCs w:val="28"/>
          <w:lang w:val="es-US"/>
        </w:rPr>
      </w:pPr>
      <w:r w:rsidRPr="00BC2C78">
        <w:rPr>
          <w:sz w:val="28"/>
          <w:szCs w:val="28"/>
          <w:lang w:val="es-US"/>
        </w:rPr>
        <w:t>He expuesto algunos detalles de este caso porque, para mí, condensa los problemas a los que apuntan las autoras del libro A</w:t>
      </w:r>
      <w:r w:rsidRPr="00BC2C78">
        <w:rPr>
          <w:rStyle w:val="Ninguno"/>
          <w:i/>
          <w:iCs/>
          <w:sz w:val="28"/>
          <w:szCs w:val="28"/>
          <w:lang w:val="es-US"/>
        </w:rPr>
        <w:t xml:space="preserve">bolicionismo Penal y Feminismo Abolicionista:  Diálogo Transdisciplinario </w:t>
      </w:r>
      <w:r w:rsidRPr="00BC2C78">
        <w:rPr>
          <w:sz w:val="28"/>
          <w:szCs w:val="28"/>
          <w:lang w:val="es-US"/>
        </w:rPr>
        <w:t>y que llega a nosotros gracias a labor de sus editoras Madeline Román e Iris Rosario y de la editorial Educación Emergente.  Pero al igual que este caso hay muchos otros que ocurren día a día en nuestro entorno.  Igual recuerdo a aquél gestor cultural de Puerto Rico que se suicidó quizás porque su nombre apareciera en un listado “online" de agresores/acosadores sexuales. Un caso que, de hecho, llevó a Madeline Román a escribir el artí</w:t>
      </w:r>
      <w:r w:rsidRPr="00BC2C78">
        <w:rPr>
          <w:sz w:val="28"/>
          <w:szCs w:val="28"/>
          <w:lang w:val="es-US"/>
        </w:rPr>
        <w:t xml:space="preserve">culo:  </w:t>
      </w:r>
      <w:r w:rsidRPr="00BC2C78">
        <w:rPr>
          <w:rStyle w:val="Ninguno"/>
          <w:i/>
          <w:iCs/>
          <w:sz w:val="28"/>
          <w:szCs w:val="28"/>
          <w:lang w:val="es-US"/>
        </w:rPr>
        <w:t>“Empuñar el teclado como si fuera un arma”</w:t>
      </w:r>
      <w:r w:rsidRPr="00BC2C78">
        <w:rPr>
          <w:sz w:val="28"/>
          <w:szCs w:val="28"/>
          <w:lang w:val="es-US"/>
        </w:rPr>
        <w:t xml:space="preserve"> (9 de septiembre de 2021, ENDI). En ocasiones, cuando he observado estos eventos, he llegado a sentirme también sin capacidad de habla.  No porque uno enmudezca sino porque al intentar hablar se recibe como respuesta un parloteo moralista y doctrinario que no logra aportar nada a la situación.  Recuerdo que una persona me dijo que, ante estos casos, la muerte de un hombre, sea civil o física, estaba justificada debido a los años de opresión contra la mujer. </w:t>
      </w:r>
      <w:r w:rsidRPr="00BC2C78">
        <w:rPr>
          <w:sz w:val="28"/>
          <w:szCs w:val="28"/>
          <w:lang w:val="es-US"/>
        </w:rPr>
        <w:t xml:space="preserve"> Como si el patriarcado se redujera a un asunto biologicista y de corporeidades individualizadas. Pero también uno siente que se queda sin habla porque las palabras a veces se agotan y ya no logran expresar adecuadamente lo que acontece.  </w:t>
      </w:r>
    </w:p>
    <w:p w14:paraId="79ADE71D" w14:textId="77777777" w:rsidR="00993F49" w:rsidRPr="00BC2C78" w:rsidRDefault="00993F49">
      <w:pPr>
        <w:pStyle w:val="Cuerpo"/>
        <w:spacing w:line="360" w:lineRule="auto"/>
        <w:jc w:val="both"/>
        <w:rPr>
          <w:sz w:val="28"/>
          <w:szCs w:val="28"/>
          <w:lang w:val="es-US"/>
        </w:rPr>
      </w:pPr>
    </w:p>
    <w:p w14:paraId="1F884709" w14:textId="77777777" w:rsidR="00993F49" w:rsidRPr="00BC2C78" w:rsidRDefault="002C255A">
      <w:pPr>
        <w:pStyle w:val="Cuerpo"/>
        <w:spacing w:line="360" w:lineRule="auto"/>
        <w:jc w:val="both"/>
        <w:rPr>
          <w:sz w:val="28"/>
          <w:szCs w:val="28"/>
          <w:lang w:val="es-US"/>
        </w:rPr>
      </w:pPr>
      <w:r w:rsidRPr="00BC2C78">
        <w:rPr>
          <w:sz w:val="28"/>
          <w:szCs w:val="28"/>
          <w:lang w:val="es-US"/>
        </w:rPr>
        <w:t xml:space="preserve">Precisamente, esa esa una de las aportaciones valiosas de este trabajo que presentamos hoy. Un trabajo que propone un hablar desde un lugar de observación y de acción diferente.  Un hablar que sin renunciar a los feminismos, renuncia a unos feminismos particulares de corte punitivista y que ha visto en sistema penal-carcelario la solución a todo tipo de conflictos. La propuesta de las autoras es transformar el lenguaje y las prácticas con que se ha manejado estos conflictos para proponer acercamientos que, </w:t>
      </w:r>
      <w:r w:rsidRPr="00BC2C78">
        <w:rPr>
          <w:sz w:val="28"/>
          <w:szCs w:val="28"/>
          <w:lang w:val="es-US"/>
        </w:rPr>
        <w:t xml:space="preserve">sin recurrir a la llamada justicia penal,  me parece, son mucho más justos. </w:t>
      </w:r>
    </w:p>
    <w:p w14:paraId="4A19F5B7" w14:textId="77777777" w:rsidR="00993F49" w:rsidRPr="00BC2C78" w:rsidRDefault="00993F49">
      <w:pPr>
        <w:pStyle w:val="Cuerpo"/>
        <w:spacing w:line="360" w:lineRule="auto"/>
        <w:jc w:val="both"/>
        <w:rPr>
          <w:sz w:val="28"/>
          <w:szCs w:val="28"/>
          <w:lang w:val="es-US"/>
        </w:rPr>
      </w:pPr>
    </w:p>
    <w:p w14:paraId="60F45854" w14:textId="77777777" w:rsidR="00993F49" w:rsidRPr="00BC2C78" w:rsidRDefault="002C255A">
      <w:pPr>
        <w:pStyle w:val="Cuerpo"/>
        <w:spacing w:line="360" w:lineRule="auto"/>
        <w:jc w:val="both"/>
        <w:rPr>
          <w:sz w:val="28"/>
          <w:szCs w:val="28"/>
          <w:lang w:val="es-US"/>
        </w:rPr>
      </w:pPr>
      <w:r w:rsidRPr="00BC2C78">
        <w:rPr>
          <w:sz w:val="28"/>
          <w:szCs w:val="28"/>
          <w:lang w:val="es-US"/>
        </w:rPr>
        <w:t xml:space="preserve">Las autoras proponen un cuestionamiento al feminismo punitivista y penal para posicionarse en un feminismo abolicionista.  El análisis de las autoras transcurre en la tríada castigo, sistema jurídico/carcelario y feminismo punitivista. Esa tríada se sostiene en dos flancos de observación. Por una parte, una análisis teórico-conceptual que es complementado, en una segunda parte, con las prácticas y experiencias desde la defensoría pública. </w:t>
      </w:r>
    </w:p>
    <w:p w14:paraId="18ED691B" w14:textId="77777777" w:rsidR="00993F49" w:rsidRPr="00BC2C78" w:rsidRDefault="00993F49">
      <w:pPr>
        <w:pStyle w:val="Cuerpo"/>
        <w:spacing w:line="360" w:lineRule="auto"/>
        <w:jc w:val="both"/>
        <w:rPr>
          <w:sz w:val="28"/>
          <w:szCs w:val="28"/>
          <w:lang w:val="es-US"/>
        </w:rPr>
      </w:pPr>
    </w:p>
    <w:p w14:paraId="66E5FB6F" w14:textId="77777777" w:rsidR="00993F49" w:rsidRDefault="002C255A">
      <w:pPr>
        <w:pStyle w:val="Cuerpo"/>
        <w:spacing w:line="360" w:lineRule="auto"/>
        <w:jc w:val="both"/>
        <w:rPr>
          <w:sz w:val="28"/>
          <w:szCs w:val="28"/>
        </w:rPr>
      </w:pPr>
      <w:r>
        <w:rPr>
          <w:sz w:val="28"/>
          <w:szCs w:val="28"/>
        </w:rPr>
        <w:t xml:space="preserve">A mi modo de ver el punto de partida de las reflexiones contenidas en este trabajo está fundamentado en cuestionar la misma categoría de lo que llamamos “delito”;  ya que el “delito”, como plantea Lina M Torres, en uno de los capítulos, no refleja la realidad de los daños, sino que los simplifica y los remite a todo un aparato jurídico penal.  Un “delito" es fundamentalmente un conflicto que se ha transmutado en “acto delictivo”.  Pero la transformación del conflicto al delito no es natural sino que en ese </w:t>
      </w:r>
      <w:r>
        <w:rPr>
          <w:sz w:val="28"/>
          <w:szCs w:val="28"/>
        </w:rPr>
        <w:t>giro del significante hay toda una instrumentalización de poderes que redefinen el acto, lo simplifican y lo remiten a todo el aparato jurídico/penal. Esa transformación pre-establece entonces las formas de “solución”(el castigo), pre-establece las subjetividades que conforman el acto desde la dicotomía (víctima/victimario) y pre-establece quiénes poseerán la legitimidad para enunciar el saber y la verdad del delito (jueces, fiscales, abogados, etc.).  Cuando el conflicto deviene en delito ocurre, como plan</w:t>
      </w:r>
      <w:r>
        <w:rPr>
          <w:sz w:val="28"/>
          <w:szCs w:val="28"/>
        </w:rPr>
        <w:t xml:space="preserve">tea Madeline Román en su capítulo, una confiscación, por parte del Estado, de las conflictividades sociales "despojando a la sociedad de su poder de resolverlas… El estado se apropia del conflicto y el conflicto de dos ahora se le añade un tercero” (p. 57).   Como también menciona Lina M Torres, los implicados en el conflicto son expropiados del conflicto mismo.  Así, el sistema penal le quita la riqueza del conflicto para pasarla al delito y a la industria del castigo. </w:t>
      </w:r>
    </w:p>
    <w:p w14:paraId="1FEBCE3B" w14:textId="77777777" w:rsidR="00993F49" w:rsidRDefault="00993F49">
      <w:pPr>
        <w:pStyle w:val="Cuerpo"/>
        <w:spacing w:line="360" w:lineRule="auto"/>
        <w:rPr>
          <w:sz w:val="28"/>
          <w:szCs w:val="28"/>
        </w:rPr>
      </w:pPr>
    </w:p>
    <w:p w14:paraId="34537F68" w14:textId="77777777" w:rsidR="00993F49" w:rsidRDefault="002C255A">
      <w:pPr>
        <w:pStyle w:val="Cuerpo"/>
        <w:spacing w:line="360" w:lineRule="auto"/>
        <w:jc w:val="both"/>
        <w:rPr>
          <w:sz w:val="28"/>
          <w:szCs w:val="28"/>
        </w:rPr>
      </w:pPr>
      <w:r>
        <w:rPr>
          <w:sz w:val="28"/>
          <w:szCs w:val="28"/>
        </w:rPr>
        <w:t>Ese acto coloca el conflicto, como menciona Agustina Iglesias, dentro de la racionalidad punitiva que individualiza el conflicto, lo coloca exclusivamente en la víctima y el victimario dejando de un lado las violencias estructurales que lo conforman y clausura la imaginación radical para resolver el conflicto.  Por eso las autoras, desde el abolicionismo penal proponen reconocer y nombrar el delito como conflicto o situación problemática.  Y así, con ese acto político se desvincula el conflicto de toda la r</w:t>
      </w:r>
      <w:r>
        <w:rPr>
          <w:sz w:val="28"/>
          <w:szCs w:val="28"/>
        </w:rPr>
        <w:t xml:space="preserve">acionalidad punitiva. Como menciona Iris Rosario:  </w:t>
      </w:r>
    </w:p>
    <w:p w14:paraId="024B87AF" w14:textId="77777777" w:rsidR="00993F49" w:rsidRDefault="00993F49">
      <w:pPr>
        <w:pStyle w:val="Cuerpo"/>
        <w:spacing w:line="360" w:lineRule="auto"/>
        <w:rPr>
          <w:sz w:val="28"/>
          <w:szCs w:val="28"/>
        </w:rPr>
      </w:pPr>
    </w:p>
    <w:p w14:paraId="26A10251" w14:textId="77777777" w:rsidR="00993F49" w:rsidRDefault="002C255A">
      <w:pPr>
        <w:pStyle w:val="Cuerpo"/>
        <w:spacing w:line="360" w:lineRule="auto"/>
        <w:jc w:val="both"/>
        <w:rPr>
          <w:sz w:val="28"/>
          <w:szCs w:val="28"/>
        </w:rPr>
      </w:pPr>
      <w:r>
        <w:rPr>
          <w:sz w:val="28"/>
          <w:szCs w:val="28"/>
        </w:rPr>
        <w:t xml:space="preserve">“…el delito debe ser visto como un conflicto y no como un acto aislado.  Los conflictos son inevitables y, como tal, representan una oportunidad para que la comunidad participe en sus resoluciones, </w:t>
      </w:r>
      <w:r>
        <w:rPr>
          <w:rStyle w:val="Tachado"/>
          <w:strike w:val="0"/>
          <w:sz w:val="28"/>
          <w:szCs w:val="28"/>
        </w:rPr>
        <w:t>desde un acercamiento pedagógico y tomando en cuenta la estructura social en la que dicho conflicto se desató…</w:t>
      </w:r>
      <w:r>
        <w:rPr>
          <w:sz w:val="28"/>
          <w:szCs w:val="28"/>
        </w:rPr>
        <w:t>un crimen (siguiendo a Nils Christie) debería ser un punto de partida para un diálogo real.”  P.43</w:t>
      </w:r>
    </w:p>
    <w:p w14:paraId="09E2AAAF" w14:textId="77777777" w:rsidR="00993F49" w:rsidRDefault="00993F49">
      <w:pPr>
        <w:pStyle w:val="Cuerpo"/>
        <w:spacing w:line="360" w:lineRule="auto"/>
        <w:rPr>
          <w:sz w:val="28"/>
          <w:szCs w:val="28"/>
        </w:rPr>
      </w:pPr>
    </w:p>
    <w:p w14:paraId="57BAAA1B" w14:textId="77777777" w:rsidR="00993F49" w:rsidRDefault="002C255A">
      <w:pPr>
        <w:pStyle w:val="Cuerpo"/>
        <w:spacing w:line="360" w:lineRule="auto"/>
        <w:jc w:val="both"/>
        <w:rPr>
          <w:sz w:val="28"/>
          <w:szCs w:val="28"/>
        </w:rPr>
      </w:pPr>
      <w:r>
        <w:rPr>
          <w:sz w:val="28"/>
          <w:szCs w:val="28"/>
        </w:rPr>
        <w:t>Sin embargo, las autoras cuestionan como el feminismo punitivista o feminismo mainstream o feminismo carcelario ha entendido, parafraseando a Madeline Román, que la solución al problema de la violencia contra las mujeres se halla en el sistema penal (p. 58).   Sustituyendo, en palabras de Moira Pérez, el hombre de derecho por la mujer de derecho.  De esta forma,  ocurre, como menciona Madeline Román una suerte de inflación punitiva producida por el mismo feminismo… ya que ha ido criminalizando diversidad de</w:t>
      </w:r>
      <w:r>
        <w:rPr>
          <w:sz w:val="28"/>
          <w:szCs w:val="28"/>
        </w:rPr>
        <w:t xml:space="preserve"> fenómenos.  “Lo anterior ha propiciado una tendencia a ver delitos por todas partes y a conceptualizar a todas las mujeres como víctimas potenciales, tendencia que se coloca en alianza tácita o explícita con el punitivismo de Estado” p. 59</w:t>
      </w:r>
    </w:p>
    <w:p w14:paraId="2F1C9FEE" w14:textId="77777777" w:rsidR="00993F49" w:rsidRDefault="00993F49">
      <w:pPr>
        <w:pStyle w:val="Cuerpo"/>
        <w:spacing w:line="360" w:lineRule="auto"/>
        <w:rPr>
          <w:sz w:val="28"/>
          <w:szCs w:val="28"/>
        </w:rPr>
      </w:pPr>
    </w:p>
    <w:p w14:paraId="78304A4B" w14:textId="77777777" w:rsidR="00993F49" w:rsidRDefault="002C255A">
      <w:pPr>
        <w:pStyle w:val="Cuerpo"/>
        <w:spacing w:line="360" w:lineRule="auto"/>
        <w:jc w:val="both"/>
        <w:rPr>
          <w:sz w:val="28"/>
          <w:szCs w:val="28"/>
        </w:rPr>
      </w:pPr>
      <w:r>
        <w:rPr>
          <w:sz w:val="28"/>
          <w:szCs w:val="28"/>
        </w:rPr>
        <w:t>Con la activación del punitivismo del Estado aparece la figura del castigo como forma de darle fin al problema en cuestión a través del dispositivo carcelario.  El castigo ya lo advertía Michael Foucault en Vigilar y Castigar más que una solución es una táctica política.  Decía Foucault (p.53) “El derecho a castigar será, pues, como un aspecto del derecho del soberano a hacer la guerra a sus enemigos:  castigar pertenece a ese ‘derecho de guerra, a ese poder absoluto de vida y muerte…” Pero el castigo es ta</w:t>
      </w:r>
      <w:r>
        <w:rPr>
          <w:sz w:val="28"/>
          <w:szCs w:val="28"/>
        </w:rPr>
        <w:t xml:space="preserve">mbién, dice Foucault, una manera de procurar una venganza… el suplicio desempeña, pues, una función jurídico-política.  </w:t>
      </w:r>
      <w:r>
        <w:rPr>
          <w:rStyle w:val="Tachado"/>
          <w:strike w:val="0"/>
          <w:sz w:val="28"/>
          <w:szCs w:val="28"/>
        </w:rPr>
        <w:t>Se trata de un ceremonial que tiene por objeto reconstruir la soberanía por un instante ultrajada”</w:t>
      </w:r>
      <w:r>
        <w:rPr>
          <w:sz w:val="28"/>
          <w:szCs w:val="28"/>
        </w:rPr>
        <w:t xml:space="preserve"> (p. 54).  En fin, como plantea Madeline Román:  El castigo aparece como dispositivo de gobernabilidad en manos de aquellos que ostentan el poder. P. 55  </w:t>
      </w:r>
    </w:p>
    <w:p w14:paraId="6F9F2178" w14:textId="77777777" w:rsidR="00993F49" w:rsidRDefault="00993F49">
      <w:pPr>
        <w:pStyle w:val="Cuerpo"/>
        <w:spacing w:line="360" w:lineRule="auto"/>
        <w:rPr>
          <w:sz w:val="28"/>
          <w:szCs w:val="28"/>
        </w:rPr>
      </w:pPr>
    </w:p>
    <w:p w14:paraId="46D3ED1B" w14:textId="77777777" w:rsidR="00993F49" w:rsidRDefault="002C255A">
      <w:pPr>
        <w:pStyle w:val="Cuerpo"/>
        <w:spacing w:line="360" w:lineRule="auto"/>
        <w:rPr>
          <w:sz w:val="28"/>
          <w:szCs w:val="28"/>
        </w:rPr>
      </w:pPr>
      <w:r>
        <w:rPr>
          <w:sz w:val="28"/>
          <w:szCs w:val="28"/>
        </w:rPr>
        <w:t xml:space="preserve">La cárcel y todo el sistema carcelario aparece entonces como dispositivo donde se materializa el deseo y la finalidad del castigo.  </w:t>
      </w:r>
    </w:p>
    <w:p w14:paraId="4B3C1008" w14:textId="77777777" w:rsidR="00993F49" w:rsidRDefault="00993F49">
      <w:pPr>
        <w:pStyle w:val="Cuerpo"/>
        <w:spacing w:line="360" w:lineRule="auto"/>
        <w:rPr>
          <w:sz w:val="28"/>
          <w:szCs w:val="28"/>
        </w:rPr>
      </w:pPr>
    </w:p>
    <w:p w14:paraId="5A3FD9F9" w14:textId="77777777" w:rsidR="00993F49" w:rsidRDefault="002C255A">
      <w:pPr>
        <w:pStyle w:val="Cuerpo"/>
        <w:spacing w:line="360" w:lineRule="auto"/>
        <w:jc w:val="both"/>
        <w:rPr>
          <w:sz w:val="28"/>
          <w:szCs w:val="28"/>
        </w:rPr>
      </w:pPr>
      <w:r>
        <w:rPr>
          <w:sz w:val="28"/>
          <w:szCs w:val="28"/>
        </w:rPr>
        <w:t xml:space="preserve">La cárcel sabemos que en una institución que ni sirve para manejar los conflictos, ni para hacer justicia. Peor aún, crea exclusiones sociales que llevan a los apresados a insertarse en acciones delictivas que los devolverán al sistema carcelario.  A pesar del fracaso del sistema carcelario, éste se mantiene como modelo naturalizado y deseado de castigo.  Sin embargo, la cárcel no es ni tiene que ser el modelo dominante para lidiar con los conflictos.  Por ejemplo, </w:t>
      </w:r>
    </w:p>
    <w:p w14:paraId="5E9A01D8" w14:textId="77777777" w:rsidR="00993F49" w:rsidRDefault="00993F49">
      <w:pPr>
        <w:pStyle w:val="Cuerpo"/>
        <w:spacing w:line="360" w:lineRule="auto"/>
        <w:jc w:val="both"/>
        <w:rPr>
          <w:sz w:val="28"/>
          <w:szCs w:val="28"/>
        </w:rPr>
      </w:pPr>
    </w:p>
    <w:p w14:paraId="554593E2" w14:textId="77777777" w:rsidR="00993F49" w:rsidRDefault="002C255A">
      <w:pPr>
        <w:pStyle w:val="Cuerpo"/>
        <w:spacing w:line="360" w:lineRule="auto"/>
        <w:jc w:val="both"/>
        <w:rPr>
          <w:sz w:val="28"/>
          <w:szCs w:val="28"/>
        </w:rPr>
      </w:pPr>
      <w:r>
        <w:rPr>
          <w:sz w:val="28"/>
          <w:szCs w:val="28"/>
        </w:rPr>
        <w:t xml:space="preserve">el estudio SPACE que realiza el Concilio Europeo de Estadísticas Penales indica que en la Comunidad Europea, para el año 2024, hubo alrededor de 120 confinados por cada 100,000 habitantes. Noruega y Finlandia, por ejemplo, con una población de 5.6 millones de habitantes cada uno mantiene 54 confinados por cada 100,000 habitantes. En Estados Unidos se proyecto más de 650 presos por cada 100,000 habitantes y Puerto Rico entiendo que la tasa supera los 170 confinados actualmente aunque llegó a tener hace unos </w:t>
      </w:r>
      <w:r>
        <w:rPr>
          <w:sz w:val="28"/>
          <w:szCs w:val="28"/>
        </w:rPr>
        <w:t xml:space="preserve">años más de 300 por cada 1000, habitantes.   Esto indica la arbitrariedad del sistema carcelario.  Es decir, no todos los países consideran la cárcel como forma de solucionar los conflictos y han hallado formas distintas de manejarlos.  </w:t>
      </w:r>
    </w:p>
    <w:p w14:paraId="69472BD3" w14:textId="77777777" w:rsidR="00993F49" w:rsidRDefault="00993F49">
      <w:pPr>
        <w:pStyle w:val="Cuerpo"/>
        <w:spacing w:line="360" w:lineRule="auto"/>
        <w:jc w:val="both"/>
        <w:rPr>
          <w:sz w:val="28"/>
          <w:szCs w:val="28"/>
        </w:rPr>
      </w:pPr>
    </w:p>
    <w:p w14:paraId="6A693EFA" w14:textId="77777777" w:rsidR="00993F49" w:rsidRDefault="002C255A">
      <w:pPr>
        <w:pStyle w:val="Cuerpo"/>
        <w:spacing w:line="360" w:lineRule="auto"/>
        <w:jc w:val="both"/>
        <w:rPr>
          <w:sz w:val="28"/>
          <w:szCs w:val="28"/>
        </w:rPr>
      </w:pPr>
      <w:r>
        <w:rPr>
          <w:sz w:val="28"/>
          <w:szCs w:val="28"/>
        </w:rPr>
        <w:t xml:space="preserve">Además, actualmente, el fundamentalismo de ultraderecha a ampliado el discurso carcelario </w:t>
      </w:r>
      <w:r>
        <w:rPr>
          <w:rStyle w:val="Tachado"/>
          <w:sz w:val="28"/>
          <w:szCs w:val="28"/>
        </w:rPr>
        <w:t xml:space="preserve">y muchas veces, como dicen los abogados, “sin el debido proceso”. </w:t>
      </w:r>
      <w:r>
        <w:rPr>
          <w:sz w:val="28"/>
          <w:szCs w:val="28"/>
        </w:rPr>
        <w:t xml:space="preserve"> Muestra de ellos son las cárceles de Bukele, las jaulas en las fronteras de Estados Unidos y México o la nueva cá</w:t>
      </w:r>
      <w:r>
        <w:rPr>
          <w:sz w:val="28"/>
          <w:szCs w:val="28"/>
        </w:rPr>
        <w:t xml:space="preserve">rcel rodeada de  cocodrilos en Florida.  Ante este auge carcelario Moira Pérez alerta que el feminismo carcelario entronca, precisamente, con la expansión del sistema de castigos en el contexto actual.  Dice Moira Pérez:  Es evidente que el sistema penal y represivo ocupa un rol preponderante en los proyectos neoconservadores y fascistas, un rol necesario para poder sostener modelos de despojo y muerte </w:t>
      </w:r>
      <w:r>
        <w:rPr>
          <w:rStyle w:val="Tachado"/>
          <w:strike w:val="0"/>
          <w:sz w:val="28"/>
          <w:szCs w:val="28"/>
        </w:rPr>
        <w:t>que no pueden sino encontrar algún grado de resistencia en quienes lo padecen”.</w:t>
      </w:r>
      <w:r>
        <w:rPr>
          <w:sz w:val="28"/>
          <w:szCs w:val="28"/>
        </w:rPr>
        <w:t xml:space="preserve"> p. 12</w:t>
      </w:r>
    </w:p>
    <w:p w14:paraId="62A1EA4A" w14:textId="77777777" w:rsidR="00993F49" w:rsidRDefault="00993F49">
      <w:pPr>
        <w:pStyle w:val="Cuerpo"/>
        <w:spacing w:line="360" w:lineRule="auto"/>
        <w:jc w:val="both"/>
        <w:rPr>
          <w:sz w:val="28"/>
          <w:szCs w:val="28"/>
        </w:rPr>
      </w:pPr>
    </w:p>
    <w:p w14:paraId="78A6012E" w14:textId="77777777" w:rsidR="00993F49" w:rsidRDefault="002C255A">
      <w:pPr>
        <w:pStyle w:val="Cuerpo"/>
        <w:spacing w:line="360" w:lineRule="auto"/>
        <w:jc w:val="both"/>
        <w:rPr>
          <w:sz w:val="28"/>
          <w:szCs w:val="28"/>
        </w:rPr>
      </w:pPr>
      <w:r>
        <w:rPr>
          <w:sz w:val="28"/>
          <w:szCs w:val="28"/>
        </w:rPr>
        <w:t>Por otra parte, la operación del sistema carcelario necesita un proceso de formación de la subjetividad binaria víctima/victimario.  Por una parte, el victimario aparece como el sujeto criminal al cual se le adscribe toda una lógica de la economía de la deuda.  En palabras de Madeline Román, el sujeto criminal pasa a ser el deudor por excelencia ya que es quien tiene que pagar.  Por su parte, la víctima no es acreedor de la deuda, sino el Estado.  La víctima se convierte en la parte sin poder.  Por ello, co</w:t>
      </w:r>
      <w:r>
        <w:rPr>
          <w:sz w:val="28"/>
          <w:szCs w:val="28"/>
        </w:rPr>
        <w:t xml:space="preserve">mo se menciona en el capítulo de Athelyn Jímenez, la víctima es la parte excluida y confiscada por el aparato jurídico/penal y se le niega a formar parte de la decisión.  Más aún, el trabajo de Athelyn Jiménez apunta hacia la paradoja de los procesos de adultización e infantilización de la víctima.  Por una parte, se tratan como adultos a las adolescentes que son objetos de procesos penales y se infantilizan a las adultas en tanto son tratadas como si no tuvieran pensamiento, voz o acción propia.  </w:t>
      </w:r>
    </w:p>
    <w:p w14:paraId="13883BEC" w14:textId="77777777" w:rsidR="00993F49" w:rsidRDefault="00993F49">
      <w:pPr>
        <w:pStyle w:val="Cuerpo"/>
        <w:spacing w:line="360" w:lineRule="auto"/>
        <w:rPr>
          <w:sz w:val="28"/>
          <w:szCs w:val="28"/>
        </w:rPr>
      </w:pPr>
    </w:p>
    <w:p w14:paraId="6C6F8A19" w14:textId="77777777" w:rsidR="00993F49" w:rsidRDefault="002C255A">
      <w:pPr>
        <w:pStyle w:val="Cuerpo"/>
        <w:spacing w:line="360" w:lineRule="auto"/>
        <w:jc w:val="both"/>
        <w:rPr>
          <w:sz w:val="28"/>
          <w:szCs w:val="28"/>
        </w:rPr>
      </w:pPr>
      <w:r>
        <w:rPr>
          <w:sz w:val="28"/>
          <w:szCs w:val="28"/>
        </w:rPr>
        <w:t xml:space="preserve">Como ocurrió en el caso de la futbolista que mencioné al inicio, del lado de la víctima, nos dice Iris Rosario,  también se da un proceso de re-víctimización ante la visibilidad del caso en cuestión y la constante repetición de la narrativa del evento; lo cual también da a entender erradamente, parafraseando a María Soledad Sáez que las mujeres son sólo la violencia que viven (p.97) </w:t>
      </w:r>
    </w:p>
    <w:p w14:paraId="0E11D839" w14:textId="77777777" w:rsidR="00993F49" w:rsidRDefault="00993F49">
      <w:pPr>
        <w:pStyle w:val="Cuerpo"/>
        <w:spacing w:line="360" w:lineRule="auto"/>
        <w:rPr>
          <w:sz w:val="28"/>
          <w:szCs w:val="28"/>
        </w:rPr>
      </w:pPr>
    </w:p>
    <w:p w14:paraId="5DA0AEFD" w14:textId="77777777" w:rsidR="00993F49" w:rsidRDefault="002C255A">
      <w:pPr>
        <w:pStyle w:val="Cuerpo"/>
        <w:spacing w:line="360" w:lineRule="auto"/>
        <w:jc w:val="both"/>
        <w:rPr>
          <w:sz w:val="28"/>
          <w:szCs w:val="28"/>
        </w:rPr>
      </w:pPr>
      <w:r>
        <w:rPr>
          <w:sz w:val="28"/>
          <w:szCs w:val="28"/>
        </w:rPr>
        <w:t>Es quizás por eso que, como menciona Iris Rosario, el 75% de las víctimas sobrevivientes en los Estados Unidos no desean utilizar el sistema penal.  Como narraba la futbolista:  “estoy harta de este proceso, no puedo vivir libremente”.  En ese rechazo al sistema penal, Amalín Ramos Mesa, observa una resistencia a la expropiación del conflicto.  A fin de cuentas, citando a Ramos Mesa, su trabajo de campo a dado cuenta de la inflexibilidad de los dispositivos de intervención (estatales o institucionales) para</w:t>
      </w:r>
      <w:r>
        <w:rPr>
          <w:sz w:val="28"/>
          <w:szCs w:val="28"/>
        </w:rPr>
        <w:t xml:space="preserve"> idear y aplicar soluciones propuestas para las personas que experimentan violencia… esto porque estos dispositivos están diseñados para reforzar identidades femeninas tradicionales y por tanto enfatizar la fragilidad y la dependencia  (p.77).</w:t>
      </w:r>
    </w:p>
    <w:p w14:paraId="78660729" w14:textId="77777777" w:rsidR="00993F49" w:rsidRDefault="00993F49">
      <w:pPr>
        <w:pStyle w:val="Cuerpo"/>
        <w:spacing w:line="360" w:lineRule="auto"/>
        <w:jc w:val="both"/>
        <w:rPr>
          <w:sz w:val="28"/>
          <w:szCs w:val="28"/>
        </w:rPr>
      </w:pPr>
    </w:p>
    <w:p w14:paraId="7D2D9545" w14:textId="77777777" w:rsidR="00993F49" w:rsidRDefault="002C255A">
      <w:pPr>
        <w:pStyle w:val="Cuerpo"/>
        <w:spacing w:line="360" w:lineRule="auto"/>
        <w:jc w:val="both"/>
        <w:rPr>
          <w:sz w:val="28"/>
          <w:szCs w:val="28"/>
        </w:rPr>
      </w:pPr>
      <w:r>
        <w:rPr>
          <w:sz w:val="28"/>
          <w:szCs w:val="28"/>
        </w:rPr>
        <w:t>El sistema punitivo, resume Agustina Iglesias, aí</w:t>
      </w:r>
      <w:r>
        <w:rPr>
          <w:sz w:val="28"/>
          <w:szCs w:val="28"/>
        </w:rPr>
        <w:t>sla los conflictos interpersonales de las violencias estructurales que los conforman.   Esa racionalidad punitiva, por una parte expropia el conflicto para que sea manejado por el sistema jurídico-estatal, pero también lo individualiza  en la medida en que lo desvincula de esas violencias estructurales y lo reduce a un problema, entre “las dos partes”.  Por ello la propuesta política de las autoras es, desde un feminismo abolicionista, plantear el abolicionismo penal como camino para atender los conflictos.</w:t>
      </w:r>
      <w:r>
        <w:rPr>
          <w:sz w:val="28"/>
          <w:szCs w:val="28"/>
        </w:rPr>
        <w:t xml:space="preserve">  Trascender el binomio víctima/victimario para dar paso a una imaginación radical para resolver los conflictos.  </w:t>
      </w:r>
    </w:p>
    <w:p w14:paraId="58C46F20" w14:textId="77777777" w:rsidR="00993F49" w:rsidRDefault="00993F49">
      <w:pPr>
        <w:pStyle w:val="Cuerpo"/>
        <w:spacing w:line="360" w:lineRule="auto"/>
        <w:jc w:val="both"/>
        <w:rPr>
          <w:sz w:val="28"/>
          <w:szCs w:val="28"/>
        </w:rPr>
      </w:pPr>
    </w:p>
    <w:p w14:paraId="02E81098" w14:textId="77777777" w:rsidR="00993F49" w:rsidRDefault="002C255A">
      <w:pPr>
        <w:pStyle w:val="Cuerpo"/>
        <w:spacing w:line="360" w:lineRule="auto"/>
        <w:jc w:val="both"/>
        <w:rPr>
          <w:sz w:val="28"/>
          <w:szCs w:val="28"/>
        </w:rPr>
      </w:pPr>
      <w:r>
        <w:rPr>
          <w:sz w:val="28"/>
          <w:szCs w:val="28"/>
        </w:rPr>
        <w:t xml:space="preserve">Hay que devolverle, como dice Lina M. Torres, la riqueza de los conflictos para tener conversaciones y diálogos que también apunten hacia causas que estén más allá de “las dos partes”.  Pero también alternativas de establecer mecanismos de justicia restaurativa que vaya más allá de la pena o la culpa y permitan explorar, como menciona Iris Rosario,  el “cómo deshacerse de lo hecho” desde otro lugar que no sea el castigo.  </w:t>
      </w:r>
    </w:p>
    <w:p w14:paraId="1BD15543" w14:textId="77777777" w:rsidR="00993F49" w:rsidRDefault="00993F49">
      <w:pPr>
        <w:pStyle w:val="Cuerpo"/>
        <w:spacing w:line="360" w:lineRule="auto"/>
        <w:jc w:val="both"/>
        <w:rPr>
          <w:sz w:val="28"/>
          <w:szCs w:val="28"/>
        </w:rPr>
      </w:pPr>
    </w:p>
    <w:p w14:paraId="48C0AE1A" w14:textId="77777777" w:rsidR="00993F49" w:rsidRDefault="002C255A">
      <w:pPr>
        <w:pStyle w:val="Cuerpo"/>
        <w:spacing w:line="360" w:lineRule="auto"/>
        <w:jc w:val="both"/>
        <w:rPr>
          <w:sz w:val="28"/>
          <w:szCs w:val="28"/>
        </w:rPr>
      </w:pPr>
      <w:r>
        <w:rPr>
          <w:sz w:val="28"/>
          <w:szCs w:val="28"/>
        </w:rPr>
        <w:t>Esta propuesta no es una renuncia a la empatía con el dolor. Es todo lo contrario, Dice Amalín Ramos:   “Los feminismos abolicionistas nos han enseñado que las prácticas antipunitivas se caracterizan por mantener un compromiso radical con el dolor en todas sus formas y en ese ideal, plantean la pregunta de si los mecanismos de justicia disponible reparan o incrementa el daño” p. 79.</w:t>
      </w:r>
    </w:p>
    <w:p w14:paraId="22E40638" w14:textId="77777777" w:rsidR="00993F49" w:rsidRDefault="00993F49">
      <w:pPr>
        <w:pStyle w:val="Cuerpo"/>
        <w:spacing w:line="360" w:lineRule="auto"/>
        <w:jc w:val="both"/>
        <w:rPr>
          <w:sz w:val="28"/>
          <w:szCs w:val="28"/>
        </w:rPr>
      </w:pPr>
    </w:p>
    <w:p w14:paraId="20CF65F7" w14:textId="77777777" w:rsidR="00993F49" w:rsidRDefault="002C255A">
      <w:pPr>
        <w:pStyle w:val="Cuerpo"/>
        <w:spacing w:line="360" w:lineRule="auto"/>
        <w:jc w:val="both"/>
        <w:rPr>
          <w:sz w:val="28"/>
          <w:szCs w:val="28"/>
        </w:rPr>
      </w:pPr>
      <w:r>
        <w:rPr>
          <w:sz w:val="28"/>
          <w:szCs w:val="28"/>
        </w:rPr>
        <w:t xml:space="preserve">Las autoras con este libro brindan una oportunidad de hablar desde otro lugar, brindan un lenguaje nuevo que permiten asumir otras prácticas sobre las violencias y que no amplifiquen el sistema punitivo penal.  Queda invitarlos a que profundicen en los ensayos de las autoras consignados en este libro pero también invitarlos a que se unan a esas nuevas formas de apalabrar las violencias.  Están invitados/as a continuar la conversación.  Muchas gracias. </w:t>
      </w:r>
    </w:p>
    <w:p w14:paraId="4F87837B" w14:textId="77777777" w:rsidR="00993F49" w:rsidRDefault="00993F49">
      <w:pPr>
        <w:pStyle w:val="Cuerpo"/>
      </w:pPr>
    </w:p>
    <w:p w14:paraId="1CCBDBDB" w14:textId="77777777" w:rsidR="00993F49" w:rsidRDefault="00993F49">
      <w:pPr>
        <w:pStyle w:val="Cuerpo"/>
      </w:pPr>
    </w:p>
    <w:p w14:paraId="53BE0FB0" w14:textId="77777777" w:rsidR="00993F49" w:rsidRDefault="00993F49">
      <w:pPr>
        <w:pStyle w:val="Cuerpo"/>
      </w:pPr>
    </w:p>
    <w:p w14:paraId="3D6CB671" w14:textId="77777777" w:rsidR="00993F49" w:rsidRDefault="00993F49">
      <w:pPr>
        <w:pStyle w:val="Cuerpo"/>
      </w:pPr>
    </w:p>
    <w:p w14:paraId="0E9FEF49" w14:textId="77777777" w:rsidR="00993F49" w:rsidRDefault="00993F49">
      <w:pPr>
        <w:pStyle w:val="Cuerpo"/>
      </w:pPr>
    </w:p>
    <w:p w14:paraId="28AB7C04" w14:textId="77777777" w:rsidR="00993F49" w:rsidRDefault="00993F49">
      <w:pPr>
        <w:pStyle w:val="Cuerpo"/>
      </w:pPr>
    </w:p>
    <w:p w14:paraId="55C17DA5" w14:textId="77777777" w:rsidR="00993F49" w:rsidRDefault="00993F49">
      <w:pPr>
        <w:pStyle w:val="Cuerpo"/>
      </w:pPr>
    </w:p>
    <w:p w14:paraId="7AFDF4C3" w14:textId="77777777" w:rsidR="00993F49" w:rsidRDefault="00993F49">
      <w:pPr>
        <w:pStyle w:val="Cuerpo"/>
      </w:pPr>
    </w:p>
    <w:p w14:paraId="7BA3C42A" w14:textId="77777777" w:rsidR="00993F49" w:rsidRDefault="00993F49">
      <w:pPr>
        <w:pStyle w:val="Cuerpo"/>
      </w:pPr>
    </w:p>
    <w:sectPr w:rsidR="00993F49">
      <w:headerReference w:type="default" r:id="rId6"/>
      <w:footerReference w:type="default" r:id="rId7"/>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3214A6" w14:textId="77777777" w:rsidR="002C255A" w:rsidRDefault="002C255A">
      <w:r>
        <w:separator/>
      </w:r>
    </w:p>
  </w:endnote>
  <w:endnote w:type="continuationSeparator" w:id="0">
    <w:p w14:paraId="15B5576C" w14:textId="77777777" w:rsidR="002C255A" w:rsidRDefault="002C25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Neue">
    <w:panose1 w:val="02000503000000020004"/>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777A7C" w14:textId="77777777" w:rsidR="00993F49" w:rsidRDefault="002C255A">
    <w:pPr>
      <w:pStyle w:val="Encabezadoypie"/>
      <w:tabs>
        <w:tab w:val="clear" w:pos="9020"/>
        <w:tab w:val="center" w:pos="4680"/>
        <w:tab w:val="right" w:pos="9360"/>
      </w:tabs>
    </w:pPr>
    <w:r>
      <w:tab/>
    </w:r>
    <w:r>
      <w:tab/>
    </w:r>
    <w:r>
      <w:fldChar w:fldCharType="begin"/>
    </w:r>
    <w:r>
      <w:instrText xml:space="preserve"> PAGE </w:instrText>
    </w:r>
    <w:r>
      <w:fldChar w:fldCharType="separate"/>
    </w:r>
    <w:r w:rsidR="00716B74">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0DD411" w14:textId="77777777" w:rsidR="002C255A" w:rsidRDefault="002C255A">
      <w:r>
        <w:separator/>
      </w:r>
    </w:p>
  </w:footnote>
  <w:footnote w:type="continuationSeparator" w:id="0">
    <w:p w14:paraId="798AA8BA" w14:textId="77777777" w:rsidR="002C255A" w:rsidRDefault="002C255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75FCDC" w14:textId="77777777" w:rsidR="00993F49" w:rsidRDefault="00993F49"/>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isplayBackgroundShape/>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3F49"/>
    <w:rsid w:val="002C255A"/>
    <w:rsid w:val="004B6464"/>
    <w:rsid w:val="00716B74"/>
    <w:rsid w:val="00993F49"/>
    <w:rsid w:val="00BC2C78"/>
    <w:rsid w:val="00CA7CCD"/>
  </w:rsids>
  <m:mathPr>
    <m:mathFont m:val="Cambria Math"/>
    <m:brkBin m:val="before"/>
    <m:brkBinSub m:val="--"/>
    <m:smallFrac m:val="0"/>
    <m:dispDef/>
    <m:lMargin m:val="0"/>
    <m:rMargin m:val="0"/>
    <m:defJc m:val="centerGroup"/>
    <m:wrapIndent m:val="1440"/>
    <m:intLim m:val="subSup"/>
    <m:naryLim m:val="undOvr"/>
  </m:mathPr>
  <w:themeFontLang w:val="es-US"/>
  <w:clrSchemeMapping w:bg1="light1" w:t1="dark1" w:bg2="light2" w:t2="dark2" w:accent1="accent1" w:accent2="accent2" w:accent3="accent3" w:accent4="accent4" w:accent5="accent5" w:accent6="accent6" w:hyperlink="hyperlink" w:followedHyperlink="followedHyperlink"/>
  <w:decimalSymbol w:val="."/>
  <w:listSeparator w:val=","/>
  <w14:docId w14:val="5983048F"/>
  <w15:docId w15:val="{74EED879-CAAA-CE4A-8189-C22D3BDE90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s-US" w:eastAsia="es-MX"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Encabezadoypie">
    <w:name w:val="Encabezado y pie"/>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Cuerpo">
    <w:name w:val="Cuerpo"/>
    <w:rPr>
      <w:rFonts w:ascii="Helvetica Neue" w:hAnsi="Helvetica Neue" w:cs="Arial Unicode MS"/>
      <w:color w:val="000000"/>
      <w:sz w:val="22"/>
      <w:szCs w:val="22"/>
      <w:lang w:val="en-US"/>
      <w14:textOutline w14:w="0" w14:cap="flat" w14:cmpd="sng" w14:algn="ctr">
        <w14:noFill/>
        <w14:prstDash w14:val="solid"/>
        <w14:bevel/>
      </w14:textOutline>
    </w:rPr>
  </w:style>
  <w:style w:type="character" w:customStyle="1" w:styleId="Ninguno">
    <w:name w:val="Ninguno"/>
    <w:rPr>
      <w:lang w:val="en-US"/>
    </w:rPr>
  </w:style>
  <w:style w:type="character" w:customStyle="1" w:styleId="Tachado">
    <w:name w:val="Tachado"/>
    <w:rPr>
      <w:strike/>
      <w:dstrike w:val="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3025</Words>
  <Characters>16641</Characters>
  <Application>Microsoft Office Word</Application>
  <DocSecurity>0</DocSecurity>
  <Lines>138</Lines>
  <Paragraphs>39</Paragraphs>
  <ScaleCrop>false</ScaleCrop>
  <Company/>
  <LinksUpToDate>false</LinksUpToDate>
  <CharactersWithSpaces>19627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Felix A. Lopez Roman</cp:lastModifiedBy>
  <cp:revision>3</cp:revision>
  <dcterms:created xsi:type="dcterms:W3CDTF">2025-09-16T13:01:00Z</dcterms:created>
  <dcterms:modified xsi:type="dcterms:W3CDTF">2025-09-16T13:01:00Z</dcterms:modified>
</cp:coreProperties>
</file>