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66F93" w14:textId="59506982" w:rsidR="00D03215" w:rsidRDefault="00626466" w:rsidP="004151A1">
      <w:pPr>
        <w:pStyle w:val="Default"/>
        <w:rPr>
          <w:rFonts w:ascii="Times New Roman" w:hAnsi="Times New Roman" w:cs="Times New Roman"/>
          <w:lang w:val="es-ES"/>
        </w:rPr>
      </w:pPr>
      <w:r>
        <w:rPr>
          <w:noProof/>
          <w:lang w:val="en-US"/>
        </w:rPr>
        <mc:AlternateContent>
          <mc:Choice Requires="wps">
            <w:drawing>
              <wp:anchor distT="0" distB="0" distL="114300" distR="114300" simplePos="0" relativeHeight="251751424" behindDoc="1" locked="0" layoutInCell="1" allowOverlap="1" wp14:anchorId="27F4D05F" wp14:editId="7B2A28BC">
                <wp:simplePos x="0" y="0"/>
                <wp:positionH relativeFrom="column">
                  <wp:posOffset>3695700</wp:posOffset>
                </wp:positionH>
                <wp:positionV relativeFrom="paragraph">
                  <wp:posOffset>-676910</wp:posOffset>
                </wp:positionV>
                <wp:extent cx="2903220" cy="1162050"/>
                <wp:effectExtent l="0" t="0" r="0" b="0"/>
                <wp:wrapNone/>
                <wp:docPr id="66" name="Text Box 66"/>
                <wp:cNvGraphicFramePr/>
                <a:graphic xmlns:a="http://schemas.openxmlformats.org/drawingml/2006/main">
                  <a:graphicData uri="http://schemas.microsoft.com/office/word/2010/wordprocessingShape">
                    <wps:wsp>
                      <wps:cNvSpPr txBox="1"/>
                      <wps:spPr>
                        <a:xfrm>
                          <a:off x="0" y="0"/>
                          <a:ext cx="2903220" cy="1162050"/>
                        </a:xfrm>
                        <a:prstGeom prst="rect">
                          <a:avLst/>
                        </a:prstGeom>
                        <a:solidFill>
                          <a:schemeClr val="lt1"/>
                        </a:solidFill>
                        <a:ln w="6350">
                          <a:noFill/>
                        </a:ln>
                      </wps:spPr>
                      <wps:txbx>
                        <w:txbxContent>
                          <w:p w14:paraId="104BE62E" w14:textId="77777777" w:rsidR="00D03215" w:rsidRPr="00087CCF" w:rsidRDefault="00D03215" w:rsidP="00D03215">
                            <w:pPr>
                              <w:jc w:val="right"/>
                              <w:rPr>
                                <w:rFonts w:ascii="Bookman Old Style" w:hAnsi="Bookman Old Style"/>
                                <w:sz w:val="20"/>
                                <w:szCs w:val="20"/>
                                <w:lang w:val="es-ES"/>
                              </w:rPr>
                            </w:pPr>
                            <w:r w:rsidRPr="00087CCF">
                              <w:rPr>
                                <w:rFonts w:ascii="Bookman Old Style" w:hAnsi="Bookman Old Style"/>
                                <w:sz w:val="20"/>
                                <w:szCs w:val="20"/>
                                <w:lang w:val="es-ES"/>
                              </w:rPr>
                              <w:t>Escuela de Derecho</w:t>
                            </w:r>
                          </w:p>
                          <w:p w14:paraId="4ACA2E34" w14:textId="77777777" w:rsidR="00D03215" w:rsidRPr="00087CCF" w:rsidRDefault="00D03215" w:rsidP="00D03215">
                            <w:pPr>
                              <w:jc w:val="right"/>
                              <w:rPr>
                                <w:rFonts w:ascii="Bookman Old Style" w:hAnsi="Bookman Old Style"/>
                                <w:sz w:val="20"/>
                                <w:szCs w:val="20"/>
                                <w:lang w:val="es-ES"/>
                              </w:rPr>
                            </w:pPr>
                            <w:r w:rsidRPr="00087CCF">
                              <w:rPr>
                                <w:rFonts w:ascii="Bookman Old Style" w:hAnsi="Bookman Old Style"/>
                                <w:sz w:val="20"/>
                                <w:szCs w:val="20"/>
                                <w:lang w:val="es-ES"/>
                              </w:rPr>
                              <w:t>Universidad de Puerto Rico</w:t>
                            </w:r>
                          </w:p>
                          <w:p w14:paraId="495B6345" w14:textId="77777777" w:rsidR="00D03215" w:rsidRPr="00087CCF" w:rsidRDefault="00D03215" w:rsidP="00D03215">
                            <w:pPr>
                              <w:jc w:val="right"/>
                              <w:rPr>
                                <w:rFonts w:ascii="Bookman Old Style" w:hAnsi="Bookman Old Style"/>
                                <w:sz w:val="20"/>
                                <w:szCs w:val="20"/>
                                <w:lang w:val="es-ES"/>
                              </w:rPr>
                            </w:pPr>
                            <w:r w:rsidRPr="00087CCF">
                              <w:rPr>
                                <w:rFonts w:ascii="Bookman Old Style" w:hAnsi="Bookman Old Style"/>
                                <w:sz w:val="20"/>
                                <w:szCs w:val="20"/>
                                <w:lang w:val="es-ES"/>
                              </w:rPr>
                              <w:t xml:space="preserve">7 </w:t>
                            </w:r>
                            <w:proofErr w:type="gramStart"/>
                            <w:r w:rsidRPr="00087CCF">
                              <w:rPr>
                                <w:rFonts w:ascii="Bookman Old Style" w:hAnsi="Bookman Old Style"/>
                                <w:sz w:val="20"/>
                                <w:szCs w:val="20"/>
                                <w:lang w:val="es-ES"/>
                              </w:rPr>
                              <w:t>Ave</w:t>
                            </w:r>
                            <w:proofErr w:type="gramEnd"/>
                            <w:r w:rsidRPr="00087CCF">
                              <w:rPr>
                                <w:rFonts w:ascii="Bookman Old Style" w:hAnsi="Bookman Old Style"/>
                                <w:sz w:val="20"/>
                                <w:szCs w:val="20"/>
                                <w:lang w:val="es-ES"/>
                              </w:rPr>
                              <w:t>. Universidad STE 701</w:t>
                            </w:r>
                          </w:p>
                          <w:p w14:paraId="51FC3ADD" w14:textId="0887BEB7" w:rsidR="00D03215" w:rsidRPr="00087CCF" w:rsidRDefault="00D03215" w:rsidP="00D03215">
                            <w:pPr>
                              <w:jc w:val="right"/>
                              <w:rPr>
                                <w:rFonts w:ascii="Bookman Old Style" w:hAnsi="Bookman Old Style"/>
                                <w:sz w:val="20"/>
                                <w:szCs w:val="20"/>
                                <w:lang w:val="es-ES"/>
                              </w:rPr>
                            </w:pPr>
                            <w:r w:rsidRPr="00087CCF">
                              <w:rPr>
                                <w:rFonts w:ascii="Bookman Old Style" w:hAnsi="Bookman Old Style"/>
                                <w:sz w:val="20"/>
                                <w:szCs w:val="20"/>
                                <w:lang w:val="es-ES"/>
                              </w:rPr>
                              <w:t>San Juan, P.R. 00925</w:t>
                            </w:r>
                            <w:r w:rsidR="004151A1" w:rsidRPr="00087CCF">
                              <w:rPr>
                                <w:rFonts w:ascii="Bookman Old Style" w:hAnsi="Bookman Old Style"/>
                                <w:sz w:val="20"/>
                                <w:szCs w:val="20"/>
                                <w:lang w:val="es-ES"/>
                              </w:rPr>
                              <w:t>-2527</w:t>
                            </w:r>
                          </w:p>
                          <w:p w14:paraId="2890E7AA" w14:textId="77777777" w:rsidR="004151A1" w:rsidRPr="00087CCF" w:rsidRDefault="004151A1" w:rsidP="004151A1">
                            <w:pPr>
                              <w:jc w:val="right"/>
                              <w:rPr>
                                <w:rFonts w:ascii="Bookman Old Style" w:hAnsi="Bookman Old Style"/>
                                <w:color w:val="171717" w:themeColor="background2" w:themeShade="1A"/>
                                <w:sz w:val="20"/>
                                <w:szCs w:val="20"/>
                                <w:lang w:val="es-ES"/>
                              </w:rPr>
                            </w:pPr>
                            <w:r w:rsidRPr="00087CCF">
                              <w:rPr>
                                <w:rFonts w:ascii="Bookman Old Style" w:hAnsi="Bookman Old Style"/>
                                <w:color w:val="171717" w:themeColor="background2" w:themeShade="1A"/>
                                <w:sz w:val="20"/>
                                <w:szCs w:val="20"/>
                                <w:lang w:val="es-ES"/>
                              </w:rPr>
                              <w:t>adn.inocencia@upr.edu</w:t>
                            </w:r>
                          </w:p>
                          <w:p w14:paraId="5A1428DE" w14:textId="77777777" w:rsidR="004151A1" w:rsidRPr="00087CCF" w:rsidRDefault="004151A1" w:rsidP="004151A1">
                            <w:pPr>
                              <w:jc w:val="right"/>
                              <w:rPr>
                                <w:rFonts w:ascii="Bookman Old Style" w:hAnsi="Bookman Old Style"/>
                                <w:sz w:val="20"/>
                                <w:szCs w:val="20"/>
                                <w:lang w:val="es-ES"/>
                              </w:rPr>
                            </w:pPr>
                            <w:r w:rsidRPr="00087CCF">
                              <w:rPr>
                                <w:rFonts w:ascii="Bookman Old Style" w:hAnsi="Bookman Old Style"/>
                                <w:sz w:val="20"/>
                                <w:szCs w:val="20"/>
                                <w:lang w:val="es-ES"/>
                              </w:rPr>
                              <w:t>(787) 999-9589, 9581, 9591</w:t>
                            </w:r>
                          </w:p>
                          <w:p w14:paraId="7EF21808" w14:textId="77777777" w:rsidR="004151A1" w:rsidRPr="00087CCF" w:rsidRDefault="004151A1" w:rsidP="00D03215">
                            <w:pPr>
                              <w:jc w:val="right"/>
                              <w:rPr>
                                <w:rFonts w:ascii="Bookman Old Style" w:hAnsi="Bookman Old Style"/>
                                <w:sz w:val="20"/>
                                <w:szCs w:val="2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F4D05F" id="_x0000_t202" coordsize="21600,21600" o:spt="202" path="m,l,21600r21600,l21600,xe">
                <v:stroke joinstyle="miter"/>
                <v:path gradientshapeok="t" o:connecttype="rect"/>
              </v:shapetype>
              <v:shape id="Text Box 66" o:spid="_x0000_s1026" type="#_x0000_t202" style="position:absolute;margin-left:291pt;margin-top:-53.3pt;width:228.6pt;height:91.5pt;z-index:-25156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KUQgIAAHwEAAAOAAAAZHJzL2Uyb0RvYy54bWysVN9v2jAQfp+0/8Hy+5pAKWsRoWKtmCZV&#10;bSWY+mwcByI5Ps82JN1fv88OUNbtadqLc74734/vu8v0tms02yvnazIFH1zknCkjqazNpuDfV4tP&#10;15z5IEwpNBlV8Ffl+e3s44dpaydqSFvSpXIMQYyftLbg2xDsJMu83KpG+AuyysBYkWtEwNVtstKJ&#10;FtEbnQ3zfJy15ErrSCrvob3vjXyW4leVkuGpqrwKTBcctYV0unSu45nNpmKyccJua3koQ/xDFY2o&#10;DZKeQt2LINjO1X+EamrpyFMVLiQ1GVVVLVXqAd0M8nfdLLfCqtQLwPH2BJP/f2Hl4/7Zsbos+HjM&#10;mRENOFqpLrAv1DGogE9r/QRuSwvH0EEPno96D2Vsu6tcE79oiMEOpF9P6MZoEsrhTX45HMIkYRsM&#10;xsP8KuGfvT23zoevihoWhYI70JdQFfsHH1AKXI8uMZsnXZeLWut0iSOj7rRjewGydUhF4sVvXtqw&#10;Fr1eInV8ZCg+7yNrgwSx2b6pKIVu3R0QWFP5CgAc9SPkrVzUKPJB+PAsHGYGjWEPwhOOShOS0EHi&#10;bEvu59/00R9UwspZixksuP+xE05xpr8ZkHwzGI3i0KbL6OpzBM+dW9bnFrNr7gidD7BxViYx+gd9&#10;FCtHzQvWZR6zwiSMRO6Ch6N4F/rNwLpJNZ8nJ4ypFeHBLK2MoSNokYJV9yKcPfAUQPEjHadVTN7R&#10;1fv2cM93gao6cRkB7lE94I4RTxQf1jHu0Pk9eb39NGa/AAAA//8DAFBLAwQUAAYACAAAACEANZ00&#10;c+MAAAAMAQAADwAAAGRycy9kb3ducmV2LnhtbEyPwU7DMBBE70j8g7VIXFBrN6FpCdlUCAGVuNG0&#10;IG5ubJKIeB3FbhL+HvcEx9GMZt5km8m0bNC9aywhLOYCmKbSqoYqhH3xPFsDc16Skq0ljfCjHWzy&#10;y4tMpsqO9KaHna9YKCGXSoTa+y7l3JW1NtLNbacpeF+2N9IH2Vdc9XIM5ablkRAJN7KhsFDLTj/W&#10;uvzenQzC50318eqml8MYL+PuaTsUq3dVIF5fTQ/3wLye/F8YzvgBHfLAdLQnUo61CMt1FL54hNlC&#10;JAmwc0TEdxGwI8IquQWeZ/z/ifwXAAD//wMAUEsBAi0AFAAGAAgAAAAhALaDOJL+AAAA4QEAABMA&#10;AAAAAAAAAAAAAAAAAAAAAFtDb250ZW50X1R5cGVzXS54bWxQSwECLQAUAAYACAAAACEAOP0h/9YA&#10;AACUAQAACwAAAAAAAAAAAAAAAAAvAQAAX3JlbHMvLnJlbHNQSwECLQAUAAYACAAAACEADKPylEIC&#10;AAB8BAAADgAAAAAAAAAAAAAAAAAuAgAAZHJzL2Uyb0RvYy54bWxQSwECLQAUAAYACAAAACEANZ00&#10;c+MAAAAMAQAADwAAAAAAAAAAAAAAAACcBAAAZHJzL2Rvd25yZXYueG1sUEsFBgAAAAAEAAQA8wAA&#10;AKwFAAAAAA==&#10;" fillcolor="white [3201]" stroked="f" strokeweight=".5pt">
                <v:textbox>
                  <w:txbxContent>
                    <w:p w14:paraId="104BE62E" w14:textId="77777777" w:rsidR="00D03215" w:rsidRPr="00087CCF" w:rsidRDefault="00D03215" w:rsidP="00D03215">
                      <w:pPr>
                        <w:jc w:val="right"/>
                        <w:rPr>
                          <w:rFonts w:ascii="Bookman Old Style" w:hAnsi="Bookman Old Style"/>
                          <w:sz w:val="20"/>
                          <w:szCs w:val="20"/>
                          <w:lang w:val="es-ES"/>
                        </w:rPr>
                      </w:pPr>
                      <w:r w:rsidRPr="00087CCF">
                        <w:rPr>
                          <w:rFonts w:ascii="Bookman Old Style" w:hAnsi="Bookman Old Style"/>
                          <w:sz w:val="20"/>
                          <w:szCs w:val="20"/>
                          <w:lang w:val="es-ES"/>
                        </w:rPr>
                        <w:t>Escuela de Derecho</w:t>
                      </w:r>
                    </w:p>
                    <w:p w14:paraId="4ACA2E34" w14:textId="77777777" w:rsidR="00D03215" w:rsidRPr="00087CCF" w:rsidRDefault="00D03215" w:rsidP="00D03215">
                      <w:pPr>
                        <w:jc w:val="right"/>
                        <w:rPr>
                          <w:rFonts w:ascii="Bookman Old Style" w:hAnsi="Bookman Old Style"/>
                          <w:sz w:val="20"/>
                          <w:szCs w:val="20"/>
                          <w:lang w:val="es-ES"/>
                        </w:rPr>
                      </w:pPr>
                      <w:r w:rsidRPr="00087CCF">
                        <w:rPr>
                          <w:rFonts w:ascii="Bookman Old Style" w:hAnsi="Bookman Old Style"/>
                          <w:sz w:val="20"/>
                          <w:szCs w:val="20"/>
                          <w:lang w:val="es-ES"/>
                        </w:rPr>
                        <w:t>Universidad de Puerto Rico</w:t>
                      </w:r>
                    </w:p>
                    <w:p w14:paraId="495B6345" w14:textId="77777777" w:rsidR="00D03215" w:rsidRPr="00087CCF" w:rsidRDefault="00D03215" w:rsidP="00D03215">
                      <w:pPr>
                        <w:jc w:val="right"/>
                        <w:rPr>
                          <w:rFonts w:ascii="Bookman Old Style" w:hAnsi="Bookman Old Style"/>
                          <w:sz w:val="20"/>
                          <w:szCs w:val="20"/>
                          <w:lang w:val="es-ES"/>
                        </w:rPr>
                      </w:pPr>
                      <w:r w:rsidRPr="00087CCF">
                        <w:rPr>
                          <w:rFonts w:ascii="Bookman Old Style" w:hAnsi="Bookman Old Style"/>
                          <w:sz w:val="20"/>
                          <w:szCs w:val="20"/>
                          <w:lang w:val="es-ES"/>
                        </w:rPr>
                        <w:t xml:space="preserve">7 </w:t>
                      </w:r>
                      <w:proofErr w:type="gramStart"/>
                      <w:r w:rsidRPr="00087CCF">
                        <w:rPr>
                          <w:rFonts w:ascii="Bookman Old Style" w:hAnsi="Bookman Old Style"/>
                          <w:sz w:val="20"/>
                          <w:szCs w:val="20"/>
                          <w:lang w:val="es-ES"/>
                        </w:rPr>
                        <w:t>Ave</w:t>
                      </w:r>
                      <w:proofErr w:type="gramEnd"/>
                      <w:r w:rsidRPr="00087CCF">
                        <w:rPr>
                          <w:rFonts w:ascii="Bookman Old Style" w:hAnsi="Bookman Old Style"/>
                          <w:sz w:val="20"/>
                          <w:szCs w:val="20"/>
                          <w:lang w:val="es-ES"/>
                        </w:rPr>
                        <w:t>. Universidad STE 701</w:t>
                      </w:r>
                    </w:p>
                    <w:p w14:paraId="51FC3ADD" w14:textId="0887BEB7" w:rsidR="00D03215" w:rsidRPr="00087CCF" w:rsidRDefault="00D03215" w:rsidP="00D03215">
                      <w:pPr>
                        <w:jc w:val="right"/>
                        <w:rPr>
                          <w:rFonts w:ascii="Bookman Old Style" w:hAnsi="Bookman Old Style"/>
                          <w:sz w:val="20"/>
                          <w:szCs w:val="20"/>
                          <w:lang w:val="es-ES"/>
                        </w:rPr>
                      </w:pPr>
                      <w:r w:rsidRPr="00087CCF">
                        <w:rPr>
                          <w:rFonts w:ascii="Bookman Old Style" w:hAnsi="Bookman Old Style"/>
                          <w:sz w:val="20"/>
                          <w:szCs w:val="20"/>
                          <w:lang w:val="es-ES"/>
                        </w:rPr>
                        <w:t>San Juan, P.R. 00925</w:t>
                      </w:r>
                      <w:r w:rsidR="004151A1" w:rsidRPr="00087CCF">
                        <w:rPr>
                          <w:rFonts w:ascii="Bookman Old Style" w:hAnsi="Bookman Old Style"/>
                          <w:sz w:val="20"/>
                          <w:szCs w:val="20"/>
                          <w:lang w:val="es-ES"/>
                        </w:rPr>
                        <w:t>-2527</w:t>
                      </w:r>
                    </w:p>
                    <w:p w14:paraId="2890E7AA" w14:textId="77777777" w:rsidR="004151A1" w:rsidRPr="00087CCF" w:rsidRDefault="004151A1" w:rsidP="004151A1">
                      <w:pPr>
                        <w:jc w:val="right"/>
                        <w:rPr>
                          <w:rFonts w:ascii="Bookman Old Style" w:hAnsi="Bookman Old Style"/>
                          <w:color w:val="171717" w:themeColor="background2" w:themeShade="1A"/>
                          <w:sz w:val="20"/>
                          <w:szCs w:val="20"/>
                          <w:lang w:val="es-ES"/>
                        </w:rPr>
                      </w:pPr>
                      <w:r w:rsidRPr="00087CCF">
                        <w:rPr>
                          <w:rFonts w:ascii="Bookman Old Style" w:hAnsi="Bookman Old Style"/>
                          <w:color w:val="171717" w:themeColor="background2" w:themeShade="1A"/>
                          <w:sz w:val="20"/>
                          <w:szCs w:val="20"/>
                          <w:lang w:val="es-ES"/>
                        </w:rPr>
                        <w:t>adn.inocencia@upr.edu</w:t>
                      </w:r>
                    </w:p>
                    <w:p w14:paraId="5A1428DE" w14:textId="77777777" w:rsidR="004151A1" w:rsidRPr="00087CCF" w:rsidRDefault="004151A1" w:rsidP="004151A1">
                      <w:pPr>
                        <w:jc w:val="right"/>
                        <w:rPr>
                          <w:rFonts w:ascii="Bookman Old Style" w:hAnsi="Bookman Old Style"/>
                          <w:sz w:val="20"/>
                          <w:szCs w:val="20"/>
                          <w:lang w:val="es-ES"/>
                        </w:rPr>
                      </w:pPr>
                      <w:r w:rsidRPr="00087CCF">
                        <w:rPr>
                          <w:rFonts w:ascii="Bookman Old Style" w:hAnsi="Bookman Old Style"/>
                          <w:sz w:val="20"/>
                          <w:szCs w:val="20"/>
                          <w:lang w:val="es-ES"/>
                        </w:rPr>
                        <w:t>(787) 999-9589, 9581, 9591</w:t>
                      </w:r>
                    </w:p>
                    <w:p w14:paraId="7EF21808" w14:textId="77777777" w:rsidR="004151A1" w:rsidRPr="00087CCF" w:rsidRDefault="004151A1" w:rsidP="00D03215">
                      <w:pPr>
                        <w:jc w:val="right"/>
                        <w:rPr>
                          <w:rFonts w:ascii="Bookman Old Style" w:hAnsi="Bookman Old Style"/>
                          <w:sz w:val="20"/>
                          <w:szCs w:val="20"/>
                          <w:lang w:val="es-ES"/>
                        </w:rPr>
                      </w:pPr>
                    </w:p>
                  </w:txbxContent>
                </v:textbox>
              </v:shape>
            </w:pict>
          </mc:Fallback>
        </mc:AlternateContent>
      </w:r>
      <w:r>
        <w:rPr>
          <w:noProof/>
          <w:lang w:val="en-US"/>
        </w:rPr>
        <w:drawing>
          <wp:anchor distT="0" distB="0" distL="114300" distR="114300" simplePos="0" relativeHeight="251711488" behindDoc="1" locked="0" layoutInCell="1" allowOverlap="1" wp14:anchorId="5CB91671" wp14:editId="195959F9">
            <wp:simplePos x="0" y="0"/>
            <wp:positionH relativeFrom="page">
              <wp:posOffset>333375</wp:posOffset>
            </wp:positionH>
            <wp:positionV relativeFrom="paragraph">
              <wp:posOffset>-900430</wp:posOffset>
            </wp:positionV>
            <wp:extent cx="4410075" cy="1502410"/>
            <wp:effectExtent l="0" t="0" r="0" b="254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rotWithShape="1">
                    <a:blip r:embed="rId8">
                      <a:extLst>
                        <a:ext uri="{28A0092B-C50C-407E-A947-70E740481C1C}">
                          <a14:useLocalDpi xmlns:a14="http://schemas.microsoft.com/office/drawing/2010/main" val="0"/>
                        </a:ext>
                      </a:extLst>
                    </a:blip>
                    <a:srcRect l="2680" t="26805" r="1358" b="40493"/>
                    <a:stretch/>
                  </pic:blipFill>
                  <pic:spPr bwMode="auto">
                    <a:xfrm>
                      <a:off x="0" y="0"/>
                      <a:ext cx="4410075" cy="15024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0752CAF" w14:textId="31B5605E" w:rsidR="00D03215" w:rsidRDefault="00D03215" w:rsidP="00F46FAE">
      <w:pPr>
        <w:pStyle w:val="Default"/>
        <w:spacing w:line="276" w:lineRule="auto"/>
        <w:jc w:val="both"/>
        <w:rPr>
          <w:rFonts w:ascii="Times New Roman" w:hAnsi="Times New Roman" w:cs="Times New Roman"/>
          <w:lang w:val="es-ES"/>
        </w:rPr>
      </w:pPr>
    </w:p>
    <w:p w14:paraId="483734B0" w14:textId="163ED190" w:rsidR="00D03215" w:rsidRDefault="00626466" w:rsidP="00F46FAE">
      <w:pPr>
        <w:pStyle w:val="Default"/>
        <w:spacing w:line="276" w:lineRule="auto"/>
        <w:jc w:val="both"/>
        <w:rPr>
          <w:rFonts w:ascii="Times New Roman" w:hAnsi="Times New Roman" w:cs="Times New Roman"/>
          <w:lang w:val="es-ES"/>
        </w:rPr>
      </w:pPr>
      <w:r>
        <w:rPr>
          <w:noProof/>
          <w:lang w:val="en-US"/>
        </w:rPr>
        <mc:AlternateContent>
          <mc:Choice Requires="wps">
            <w:drawing>
              <wp:anchor distT="0" distB="0" distL="114300" distR="114300" simplePos="0" relativeHeight="251710464" behindDoc="0" locked="0" layoutInCell="1" allowOverlap="1" wp14:anchorId="3DE4C321" wp14:editId="44FEFE87">
                <wp:simplePos x="0" y="0"/>
                <wp:positionH relativeFrom="margin">
                  <wp:posOffset>-742950</wp:posOffset>
                </wp:positionH>
                <wp:positionV relativeFrom="paragraph">
                  <wp:posOffset>226272</wp:posOffset>
                </wp:positionV>
                <wp:extent cx="7406640" cy="0"/>
                <wp:effectExtent l="0" t="19050" r="22860" b="19050"/>
                <wp:wrapNone/>
                <wp:docPr id="42" name="Straight Connector 42"/>
                <wp:cNvGraphicFramePr/>
                <a:graphic xmlns:a="http://schemas.openxmlformats.org/drawingml/2006/main">
                  <a:graphicData uri="http://schemas.microsoft.com/office/word/2010/wordprocessingShape">
                    <wps:wsp>
                      <wps:cNvCnPr/>
                      <wps:spPr>
                        <a:xfrm flipV="1">
                          <a:off x="0" y="0"/>
                          <a:ext cx="7406640" cy="0"/>
                        </a:xfrm>
                        <a:prstGeom prst="line">
                          <a:avLst/>
                        </a:prstGeom>
                        <a:ln w="38100">
                          <a:solidFill>
                            <a:srgbClr val="4F0139"/>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5CA0056A" id="Straight Connector 42" o:spid="_x0000_s1026" style="position:absolute;flip:y;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8.5pt,17.8pt" to="524.7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OiDyQEAAN0DAAAOAAAAZHJzL2Uyb0RvYy54bWysU8tu2zAQvBfIPxC815Jsw00FyzkkcC5F&#10;G/R1p6mlRZQvkIwl/32XlKwETZtD0Ash7u7M7gxX25tBK3ICH6Q1Da0WJSVguG2lOTb0x/f9+2tK&#10;QmSmZcoaaOgZAr3ZXb3b9q6Gpe2sasETJDGh7l1DuxhdXRSBd6BZWFgHBpPCes0iXv2xaD3rkV2r&#10;YlmWm6K3vnXecggBo3djku4yvxDA4xchAkSiGoqzxXz6fB7SWey2rD565jrJpzHYG6bQTBpsOlPd&#10;scjIo5cvqLTk3gYr4oJbXVghJIesAdVU5R9qvnXMQdaC5gQ32xT+Hy3/fLo1Dx5t6F2og3vwScUg&#10;vCZCSfcT3zTrwknJkG07z7bBEAnH4Id1udms0V1+yRUjRaJyPsR7sJqkj4YqaZIiVrPTpxCxLZZe&#10;SlJYGdI3dHVdlWUuC1bJdi+VSsngj4db5cmJ4Wuu92W1+pgeECmeleFNGQw+6clf8axgbPAVBJEt&#10;zr0aO6RVg5m2/VVNnMpgZYIIbD+DprH+BZpqEwzy+s3A5evd5urc0Zo4A7U01v8NHIfLqGKsv6ge&#10;tSbZB9ue8+tmO3CHslvTvqclfX7P8Ke/cvcbAAD//wMAUEsDBBQABgAIAAAAIQC3VKSB5QAAABAB&#10;AAAPAAAAZHJzL2Rvd25yZXYueG1sTI9PT8JAEMXvJn6HzZh4g90KgpZuCQGNmJgYweh16I5ttTvb&#10;dBeo394lHvQyyfx77/2yeW8bcaDO1441JEMFgrhwpuZSw+v2fnADwgdkg41j0vBNHub5+VmGqXFH&#10;fqHDJpQiirBPUUMVQptK6YuKLPqha4nj7sN1FkNsu1KaDo9R3DbySqmJtFhzdKiwpWVFxddmbzUs&#10;H2xQ73fTp3q9eH60n1t2q7eR1pcX/WoWy2IGIlAf/j7gxBDzQx6D7dyejReNhkGSTCNR0DC6noA4&#10;Xajx7RjE7nci80z+B8l/AAAA//8DAFBLAQItABQABgAIAAAAIQC2gziS/gAAAOEBAAATAAAAAAAA&#10;AAAAAAAAAAAAAABbQ29udGVudF9UeXBlc10ueG1sUEsBAi0AFAAGAAgAAAAhADj9If/WAAAAlAEA&#10;AAsAAAAAAAAAAAAAAAAALwEAAF9yZWxzLy5yZWxzUEsBAi0AFAAGAAgAAAAhAF9w6IPJAQAA3QMA&#10;AA4AAAAAAAAAAAAAAAAALgIAAGRycy9lMm9Eb2MueG1sUEsBAi0AFAAGAAgAAAAhALdUpIHlAAAA&#10;EAEAAA8AAAAAAAAAAAAAAAAAIwQAAGRycy9kb3ducmV2LnhtbFBLBQYAAAAABAAEAPMAAAA1BQAA&#10;AAA=&#10;" strokecolor="#4f0139" strokeweight="3pt">
                <v:stroke joinstyle="miter"/>
                <w10:wrap anchorx="margin"/>
              </v:line>
            </w:pict>
          </mc:Fallback>
        </mc:AlternateContent>
      </w:r>
    </w:p>
    <w:p w14:paraId="097725AB" w14:textId="5BB211CB" w:rsidR="00D03215" w:rsidRDefault="00D03215" w:rsidP="00F46FAE">
      <w:pPr>
        <w:pStyle w:val="Default"/>
        <w:spacing w:line="276" w:lineRule="auto"/>
        <w:jc w:val="both"/>
        <w:rPr>
          <w:rFonts w:ascii="Times New Roman" w:hAnsi="Times New Roman" w:cs="Times New Roman"/>
          <w:lang w:val="es-ES"/>
        </w:rPr>
      </w:pPr>
    </w:p>
    <w:p w14:paraId="2B2771C3" w14:textId="71E096EC" w:rsidR="00D03215" w:rsidRDefault="00D03215" w:rsidP="00F46FAE">
      <w:pPr>
        <w:pStyle w:val="Default"/>
        <w:spacing w:line="276" w:lineRule="auto"/>
        <w:jc w:val="both"/>
        <w:rPr>
          <w:rFonts w:ascii="Times New Roman" w:hAnsi="Times New Roman" w:cs="Times New Roman"/>
          <w:lang w:val="es-ES"/>
        </w:rPr>
      </w:pPr>
    </w:p>
    <w:p w14:paraId="6761E881" w14:textId="67EF61B8" w:rsidR="00626466" w:rsidRPr="00626466" w:rsidRDefault="00626466" w:rsidP="00626466">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160"/>
        <w:jc w:val="center"/>
        <w:rPr>
          <w:rFonts w:eastAsia="Palatino Linotype"/>
          <w:b/>
          <w:lang w:val="es"/>
        </w:rPr>
      </w:pPr>
      <w:r w:rsidRPr="00626466">
        <w:rPr>
          <w:rFonts w:eastAsia="Palatino Linotype"/>
          <w:b/>
          <w:lang w:val="es"/>
        </w:rPr>
        <w:t>Proyecto ADN Post Sentencia de la Escuela de Derecho</w:t>
      </w:r>
      <w:r w:rsidR="00014B90">
        <w:rPr>
          <w:rFonts w:eastAsia="Palatino Linotype"/>
          <w:b/>
          <w:lang w:val="es"/>
        </w:rPr>
        <w:t xml:space="preserve"> de la UPR se opone a Proyecto que busca incluir el </w:t>
      </w:r>
      <w:r w:rsidR="00BE131B">
        <w:rPr>
          <w:rFonts w:eastAsia="Palatino Linotype"/>
          <w:b/>
          <w:lang w:val="es"/>
        </w:rPr>
        <w:t>p</w:t>
      </w:r>
      <w:r w:rsidR="00014B90">
        <w:rPr>
          <w:rFonts w:eastAsia="Palatino Linotype"/>
          <w:b/>
          <w:lang w:val="es"/>
        </w:rPr>
        <w:t>erjurio en</w:t>
      </w:r>
      <w:r w:rsidR="00BE131B">
        <w:rPr>
          <w:rFonts w:eastAsia="Palatino Linotype"/>
          <w:b/>
          <w:lang w:val="es"/>
        </w:rPr>
        <w:t>tre</w:t>
      </w:r>
      <w:r w:rsidR="00014B90">
        <w:rPr>
          <w:rFonts w:eastAsia="Palatino Linotype"/>
          <w:b/>
          <w:lang w:val="es"/>
        </w:rPr>
        <w:t xml:space="preserve"> los delitos que no prescriben </w:t>
      </w:r>
    </w:p>
    <w:p w14:paraId="322195A6" w14:textId="77777777" w:rsidR="00626466" w:rsidRPr="00A931C9" w:rsidRDefault="00626466" w:rsidP="00626466">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160"/>
        <w:jc w:val="center"/>
        <w:rPr>
          <w:rFonts w:eastAsia="Palatino Linotype"/>
          <w:b/>
          <w:sz w:val="20"/>
          <w:lang w:val="es"/>
        </w:rPr>
      </w:pPr>
    </w:p>
    <w:p w14:paraId="0FB10635" w14:textId="1C0BD19C" w:rsidR="00626466" w:rsidRDefault="00626466" w:rsidP="00BE131B">
      <w:pPr>
        <w:pBdr>
          <w:top w:val="none" w:sz="0" w:space="0" w:color="000000"/>
          <w:left w:val="none" w:sz="0" w:space="0" w:color="000000"/>
          <w:bottom w:val="none" w:sz="0" w:space="0" w:color="000000"/>
          <w:right w:val="none" w:sz="0" w:space="0" w:color="000000"/>
          <w:between w:val="none" w:sz="0" w:space="0" w:color="000000"/>
        </w:pBdr>
        <w:shd w:val="clear" w:color="auto" w:fill="FFFFFF"/>
        <w:jc w:val="both"/>
        <w:rPr>
          <w:rFonts w:eastAsia="Palatino Linotype"/>
          <w:lang w:val="es"/>
        </w:rPr>
      </w:pPr>
      <w:r w:rsidRPr="00626466">
        <w:rPr>
          <w:rFonts w:eastAsia="Palatino Linotype"/>
          <w:b/>
          <w:lang w:val="es"/>
        </w:rPr>
        <w:t xml:space="preserve">San Juan, Puerto Rico </w:t>
      </w:r>
      <w:r w:rsidR="00014B90">
        <w:rPr>
          <w:rFonts w:eastAsia="Palatino Linotype"/>
          <w:lang w:val="es"/>
        </w:rPr>
        <w:t>–</w:t>
      </w:r>
      <w:r w:rsidRPr="00626466">
        <w:rPr>
          <w:rFonts w:eastAsia="Palatino Linotype"/>
          <w:lang w:val="es"/>
        </w:rPr>
        <w:t xml:space="preserve"> </w:t>
      </w:r>
      <w:r w:rsidR="00014B90">
        <w:rPr>
          <w:rFonts w:eastAsia="Palatino Linotype"/>
          <w:lang w:val="es"/>
        </w:rPr>
        <w:t xml:space="preserve">El Proyecto ADN Post Sentencia de la Escuela de Derecho de la UPR </w:t>
      </w:r>
      <w:r w:rsidR="009D32D3">
        <w:rPr>
          <w:rFonts w:eastAsia="Palatino Linotype"/>
          <w:lang w:val="es"/>
        </w:rPr>
        <w:t xml:space="preserve">ha levantado bandera </w:t>
      </w:r>
      <w:r w:rsidR="00BE131B">
        <w:rPr>
          <w:rFonts w:eastAsia="Palatino Linotype"/>
          <w:lang w:val="es"/>
        </w:rPr>
        <w:t xml:space="preserve">ante el </w:t>
      </w:r>
      <w:r w:rsidR="009D32D3">
        <w:rPr>
          <w:rFonts w:eastAsia="Palatino Linotype"/>
          <w:lang w:val="es"/>
        </w:rPr>
        <w:t>Proyecto de Ley que busca incluir e</w:t>
      </w:r>
      <w:r w:rsidR="00BE131B">
        <w:rPr>
          <w:rFonts w:eastAsia="Palatino Linotype"/>
          <w:lang w:val="es"/>
        </w:rPr>
        <w:t>l</w:t>
      </w:r>
      <w:r w:rsidR="009D32D3">
        <w:rPr>
          <w:rFonts w:eastAsia="Palatino Linotype"/>
          <w:lang w:val="es"/>
        </w:rPr>
        <w:t xml:space="preserve"> delito de </w:t>
      </w:r>
      <w:r w:rsidR="00BE131B">
        <w:rPr>
          <w:rFonts w:eastAsia="Palatino Linotype"/>
          <w:lang w:val="es"/>
        </w:rPr>
        <w:t>p</w:t>
      </w:r>
      <w:r w:rsidR="009D32D3">
        <w:rPr>
          <w:rFonts w:eastAsia="Palatino Linotype"/>
          <w:lang w:val="es"/>
        </w:rPr>
        <w:t>erjurio en</w:t>
      </w:r>
      <w:r w:rsidR="00BE131B">
        <w:rPr>
          <w:rFonts w:eastAsia="Palatino Linotype"/>
          <w:lang w:val="es"/>
        </w:rPr>
        <w:t>tre los delitos que no prescriben cuando resulte en una condena errada.</w:t>
      </w:r>
    </w:p>
    <w:p w14:paraId="3FE0F68D" w14:textId="77777777" w:rsidR="008120B1" w:rsidRDefault="008120B1" w:rsidP="00BE131B">
      <w:pPr>
        <w:pBdr>
          <w:top w:val="none" w:sz="0" w:space="0" w:color="000000"/>
          <w:left w:val="none" w:sz="0" w:space="0" w:color="000000"/>
          <w:bottom w:val="none" w:sz="0" w:space="0" w:color="000000"/>
          <w:right w:val="none" w:sz="0" w:space="0" w:color="000000"/>
          <w:between w:val="none" w:sz="0" w:space="0" w:color="000000"/>
        </w:pBdr>
        <w:shd w:val="clear" w:color="auto" w:fill="FFFFFF"/>
        <w:jc w:val="both"/>
        <w:rPr>
          <w:rFonts w:eastAsia="Palatino Linotype"/>
          <w:lang w:val="es"/>
        </w:rPr>
      </w:pPr>
    </w:p>
    <w:p w14:paraId="77A35362" w14:textId="1794EB0B" w:rsidR="00014B90" w:rsidRPr="00EF70EE" w:rsidRDefault="00014B90" w:rsidP="00BE131B">
      <w:pPr>
        <w:jc w:val="both"/>
        <w:rPr>
          <w:lang w:val="es-PR"/>
        </w:rPr>
      </w:pPr>
      <w:r w:rsidRPr="00EF70EE">
        <w:rPr>
          <w:lang w:val="es-PR"/>
        </w:rPr>
        <w:t xml:space="preserve">En </w:t>
      </w:r>
      <w:r w:rsidR="009D32D3" w:rsidRPr="00EF70EE">
        <w:rPr>
          <w:lang w:val="es-PR"/>
        </w:rPr>
        <w:t>su</w:t>
      </w:r>
      <w:r w:rsidRPr="00EF70EE">
        <w:rPr>
          <w:lang w:val="es-PR"/>
        </w:rPr>
        <w:t xml:space="preserve"> Exposición de Motivos, el P</w:t>
      </w:r>
      <w:r w:rsidR="00D75ED8">
        <w:rPr>
          <w:lang w:val="es-PR"/>
        </w:rPr>
        <w:t>.</w:t>
      </w:r>
      <w:r w:rsidRPr="00EF70EE">
        <w:rPr>
          <w:lang w:val="es-PR"/>
        </w:rPr>
        <w:t xml:space="preserve"> del S. 738 reconoce el efecto perjudicial que tiene un testimonio mendaz en el proceso judicial. Y es cierto que el perjurio es la causa mayor de las condenas erróneas. De acuerdo con el Registro Nacional de Exoneraciones, el 57% de todas las exoneraciones en procedimientos post sentencia involucran perjurio o acusaciones falsas. </w:t>
      </w:r>
      <w:r w:rsidR="00B03E1B">
        <w:rPr>
          <w:lang w:val="es-PR"/>
        </w:rPr>
        <w:t xml:space="preserve">Es decir, las personas fueron condenadas por el testimonio de una persona que mintió. No obstante, ante esta realidad no se debe </w:t>
      </w:r>
      <w:r w:rsidR="00B03E1B" w:rsidRPr="00EF70EE">
        <w:rPr>
          <w:color w:val="000000"/>
          <w:lang w:val="es-PR"/>
        </w:rPr>
        <w:t>articular como respuesta la imprescriptibilidad del delito de perjurio.</w:t>
      </w:r>
    </w:p>
    <w:p w14:paraId="6D15228E" w14:textId="77777777" w:rsidR="00EF70EE" w:rsidRDefault="00EF70EE" w:rsidP="00BE131B">
      <w:pPr>
        <w:jc w:val="both"/>
        <w:rPr>
          <w:lang w:val="es-PR"/>
        </w:rPr>
      </w:pPr>
    </w:p>
    <w:p w14:paraId="2F517F60" w14:textId="2541A2CF" w:rsidR="00EF70EE" w:rsidRDefault="005656A2" w:rsidP="00BE131B">
      <w:pPr>
        <w:jc w:val="both"/>
        <w:rPr>
          <w:lang w:val="es-PR"/>
        </w:rPr>
      </w:pPr>
      <w:r>
        <w:rPr>
          <w:lang w:val="es-PR"/>
        </w:rPr>
        <w:t>E</w:t>
      </w:r>
      <w:r w:rsidR="00014B90" w:rsidRPr="00EF70EE">
        <w:rPr>
          <w:lang w:val="es-PR"/>
        </w:rPr>
        <w:t>l legislador obvia un análisis que podría ilustrar cuán contraproducente puede resultar la medida para su propio objetivo: las personas privadas de su libertad que han sido condenadas erróneamente, tras el testimonio de un testigo perjuro, no tendrían la posibilidad de que ese testigo se retracte de su mentira, puesto que, aun con el transcurso de los años penderá sobre él la amenaza de un castigo</w:t>
      </w:r>
      <w:r w:rsidR="00EF70EE">
        <w:rPr>
          <w:lang w:val="es-PR"/>
        </w:rPr>
        <w:t>.</w:t>
      </w:r>
    </w:p>
    <w:p w14:paraId="64FD59FC" w14:textId="10E00ABA" w:rsidR="00014B90" w:rsidRPr="00EF70EE" w:rsidRDefault="00014B90" w:rsidP="00BE131B">
      <w:pPr>
        <w:jc w:val="both"/>
        <w:rPr>
          <w:lang w:val="es-PR"/>
        </w:rPr>
      </w:pPr>
      <w:r w:rsidRPr="00EF70EE">
        <w:rPr>
          <w:lang w:val="es-PR"/>
        </w:rPr>
        <w:t xml:space="preserve"> </w:t>
      </w:r>
    </w:p>
    <w:p w14:paraId="1B8BE32C" w14:textId="5F521973" w:rsidR="00EF70EE" w:rsidRDefault="00EF70EE" w:rsidP="00BE131B">
      <w:pPr>
        <w:jc w:val="both"/>
        <w:rPr>
          <w:lang w:val="es-PR"/>
        </w:rPr>
      </w:pPr>
      <w:r>
        <w:rPr>
          <w:lang w:val="es-PR"/>
        </w:rPr>
        <w:t>“</w:t>
      </w:r>
      <w:r w:rsidR="00014B90" w:rsidRPr="00EF70EE">
        <w:rPr>
          <w:lang w:val="es-PR"/>
        </w:rPr>
        <w:t xml:space="preserve">En el Proyecto ADN Post Sentencia se han identificado varios casos cuya única solución, luego de agotar todos los otros remedios en Derecho, es que uno de los testigos se retracte y reconozca que mintió. Sin embargo, ¿cuán probable sería que un testigo decida </w:t>
      </w:r>
      <w:r w:rsidR="00A931C9">
        <w:rPr>
          <w:lang w:val="es-PR"/>
        </w:rPr>
        <w:t>aceptar</w:t>
      </w:r>
      <w:r w:rsidR="00014B90" w:rsidRPr="00EF70EE">
        <w:rPr>
          <w:lang w:val="es-PR"/>
        </w:rPr>
        <w:t xml:space="preserve"> que mintió cuando el Ministerio Público podría acusarlo y procesarlo de perjurio? La persona perjura tendría que decidir entre su intención de decir la verdad y reparar su conciencia versus la posibilidad de ser ingresada </w:t>
      </w:r>
      <w:r w:rsidR="00B03E1B">
        <w:rPr>
          <w:lang w:val="es-PR"/>
        </w:rPr>
        <w:t xml:space="preserve">en </w:t>
      </w:r>
      <w:r w:rsidR="00014B90" w:rsidRPr="00EF70EE">
        <w:rPr>
          <w:lang w:val="es-PR"/>
        </w:rPr>
        <w:t>prisión por perjurio</w:t>
      </w:r>
      <w:r>
        <w:rPr>
          <w:lang w:val="es-PR"/>
        </w:rPr>
        <w:t>”</w:t>
      </w:r>
      <w:r w:rsidR="00014B90" w:rsidRPr="00EF70EE">
        <w:rPr>
          <w:lang w:val="es-PR"/>
        </w:rPr>
        <w:t xml:space="preserve">, explicó la licenciada </w:t>
      </w:r>
      <w:proofErr w:type="spellStart"/>
      <w:r w:rsidR="00014B90" w:rsidRPr="00EF70EE">
        <w:rPr>
          <w:lang w:val="es-PR"/>
        </w:rPr>
        <w:t>Nikxa</w:t>
      </w:r>
      <w:proofErr w:type="spellEnd"/>
      <w:r w:rsidR="00014B90" w:rsidRPr="00EF70EE">
        <w:rPr>
          <w:lang w:val="es-PR"/>
        </w:rPr>
        <w:t xml:space="preserve"> Rivera Berríos, </w:t>
      </w:r>
      <w:r w:rsidR="00D75ED8">
        <w:rPr>
          <w:lang w:val="es-PR"/>
        </w:rPr>
        <w:t>C</w:t>
      </w:r>
      <w:r w:rsidR="00014B90" w:rsidRPr="00EF70EE">
        <w:rPr>
          <w:lang w:val="es-PR"/>
        </w:rPr>
        <w:t>oordinadora del Proyecto ADN Post Sentencia.</w:t>
      </w:r>
      <w:r w:rsidR="00A931C9">
        <w:rPr>
          <w:lang w:val="es-PR"/>
        </w:rPr>
        <w:t xml:space="preserve"> </w:t>
      </w:r>
    </w:p>
    <w:p w14:paraId="56C4D2EB" w14:textId="57DC73C9" w:rsidR="00BE131B" w:rsidRDefault="00BE131B" w:rsidP="00BE131B">
      <w:pPr>
        <w:jc w:val="both"/>
        <w:rPr>
          <w:lang w:val="es-PR"/>
        </w:rPr>
      </w:pPr>
    </w:p>
    <w:p w14:paraId="16A9145E" w14:textId="652D4357" w:rsidR="00BE131B" w:rsidRPr="00BE131B" w:rsidRDefault="00BE131B" w:rsidP="00BE131B">
      <w:pPr>
        <w:ind w:firstLine="720"/>
        <w:jc w:val="both"/>
        <w:rPr>
          <w:b/>
          <w:bCs/>
          <w:lang w:val="es-PR"/>
        </w:rPr>
      </w:pPr>
      <w:r>
        <w:rPr>
          <w:lang w:val="es-PR"/>
        </w:rPr>
        <w:t xml:space="preserve">Reconociendo que el problema de los testigos perjuros es un </w:t>
      </w:r>
      <w:r w:rsidR="00886F97">
        <w:rPr>
          <w:lang w:val="es-PR"/>
        </w:rPr>
        <w:t xml:space="preserve">altamente </w:t>
      </w:r>
      <w:r>
        <w:rPr>
          <w:lang w:val="es-PR"/>
        </w:rPr>
        <w:t xml:space="preserve">complejo, la Profa. Iris Rosario, Directora </w:t>
      </w:r>
      <w:r w:rsidRPr="00EF70EE">
        <w:rPr>
          <w:lang w:val="es-PR"/>
        </w:rPr>
        <w:t>Proyecto ADN Post Sentencia</w:t>
      </w:r>
      <w:r>
        <w:rPr>
          <w:lang w:val="es-PR"/>
        </w:rPr>
        <w:t xml:space="preserve"> reconoció que el </w:t>
      </w:r>
      <w:r w:rsidR="00886F97">
        <w:rPr>
          <w:lang w:val="es-PR"/>
        </w:rPr>
        <w:t xml:space="preserve">legislador se </w:t>
      </w:r>
      <w:r>
        <w:rPr>
          <w:lang w:val="es-PR"/>
        </w:rPr>
        <w:t xml:space="preserve">encuentra en </w:t>
      </w:r>
      <w:r w:rsidR="00886F97">
        <w:rPr>
          <w:lang w:val="es-PR"/>
        </w:rPr>
        <w:t>un</w:t>
      </w:r>
      <w:r w:rsidR="00886F97" w:rsidRPr="00BE131B">
        <w:rPr>
          <w:lang w:val="es-PR"/>
        </w:rPr>
        <w:t xml:space="preserve">a </w:t>
      </w:r>
      <w:r w:rsidR="00886F97">
        <w:rPr>
          <w:lang w:val="es-PR"/>
        </w:rPr>
        <w:t xml:space="preserve">tremenda </w:t>
      </w:r>
      <w:r w:rsidRPr="00BE131B">
        <w:rPr>
          <w:lang w:val="es-PR"/>
        </w:rPr>
        <w:t>disyuntiva</w:t>
      </w:r>
      <w:r w:rsidRPr="00BE131B">
        <w:rPr>
          <w:lang w:val="es-PR"/>
        </w:rPr>
        <w:t>: decretar la prescripción de un delito, y que la acción delictiva resulte impune, o esclarecer la verdad de un hecho delictivo y, por consiguiente, facilitar la liberación de una persona condena</w:t>
      </w:r>
      <w:r w:rsidR="00886F97">
        <w:rPr>
          <w:lang w:val="es-PR"/>
        </w:rPr>
        <w:t>da</w:t>
      </w:r>
      <w:r w:rsidRPr="00BE131B">
        <w:rPr>
          <w:lang w:val="es-PR"/>
        </w:rPr>
        <w:t xml:space="preserve"> erróneamente. Esa disyuntiva debe ser resuelta, de acuerdo con nuestra percepción, en favor del esclarecimiento de la verdad</w:t>
      </w:r>
      <w:r>
        <w:rPr>
          <w:lang w:val="es-PR"/>
        </w:rPr>
        <w:t xml:space="preserve"> porque, </w:t>
      </w:r>
      <w:r w:rsidRPr="00BE131B">
        <w:rPr>
          <w:lang w:val="es-PR"/>
        </w:rPr>
        <w:t xml:space="preserve">aunque </w:t>
      </w:r>
      <w:r>
        <w:rPr>
          <w:lang w:val="es-PR"/>
        </w:rPr>
        <w:t>se escuche como</w:t>
      </w:r>
      <w:r w:rsidRPr="00BE131B">
        <w:rPr>
          <w:lang w:val="es-PR"/>
        </w:rPr>
        <w:t xml:space="preserve"> un “lugar común</w:t>
      </w:r>
      <w:r w:rsidR="00886F97">
        <w:rPr>
          <w:lang w:val="es-PR"/>
        </w:rPr>
        <w:t>”</w:t>
      </w:r>
      <w:r w:rsidRPr="00BE131B">
        <w:rPr>
          <w:lang w:val="es-PR"/>
        </w:rPr>
        <w:t xml:space="preserve">: </w:t>
      </w:r>
      <w:r w:rsidRPr="00BE131B">
        <w:rPr>
          <w:b/>
          <w:bCs/>
          <w:lang w:val="es-PR"/>
        </w:rPr>
        <w:t>es mejor un culpable en la libre comunidad que un inocente tras las rejas.</w:t>
      </w:r>
    </w:p>
    <w:p w14:paraId="6F7F0754" w14:textId="1FC32D9B" w:rsidR="00BE131B" w:rsidRDefault="00BE131B" w:rsidP="00BE131B">
      <w:pPr>
        <w:spacing w:line="276" w:lineRule="auto"/>
        <w:jc w:val="center"/>
        <w:rPr>
          <w:rFonts w:ascii="Bookman Old Style" w:hAnsi="Bookman Old Style"/>
          <w:lang w:val="es-PR"/>
        </w:rPr>
      </w:pPr>
    </w:p>
    <w:p w14:paraId="1DB94C7B" w14:textId="68B7D4DC" w:rsidR="00BE131B" w:rsidRDefault="00BE131B" w:rsidP="00BE131B">
      <w:pPr>
        <w:spacing w:line="276" w:lineRule="auto"/>
        <w:jc w:val="center"/>
        <w:rPr>
          <w:rFonts w:ascii="Bookman Old Style" w:hAnsi="Bookman Old Style"/>
          <w:lang w:val="es-PR"/>
        </w:rPr>
      </w:pPr>
      <w:bookmarkStart w:id="0" w:name="_GoBack"/>
      <w:bookmarkEnd w:id="0"/>
    </w:p>
    <w:p w14:paraId="6E7C1D73" w14:textId="421BEF70" w:rsidR="00BE131B" w:rsidRPr="00BE131B" w:rsidRDefault="00BE131B" w:rsidP="00BE131B">
      <w:pPr>
        <w:spacing w:line="276" w:lineRule="auto"/>
        <w:jc w:val="both"/>
        <w:rPr>
          <w:lang w:val="es-PR"/>
        </w:rPr>
      </w:pPr>
      <w:r w:rsidRPr="00BE131B">
        <w:rPr>
          <w:lang w:val="es-PR"/>
        </w:rPr>
        <w:t xml:space="preserve">Contactos: </w:t>
      </w:r>
      <w:proofErr w:type="spellStart"/>
      <w:r w:rsidRPr="00BE131B">
        <w:rPr>
          <w:lang w:val="es-PR"/>
        </w:rPr>
        <w:t>Nikxa</w:t>
      </w:r>
      <w:proofErr w:type="spellEnd"/>
      <w:r w:rsidRPr="00BE131B">
        <w:rPr>
          <w:lang w:val="es-PR"/>
        </w:rPr>
        <w:t xml:space="preserve"> Rivera Berríos e Iris Rosario (787-427-8596 y 787-779-9117)</w:t>
      </w:r>
    </w:p>
    <w:sectPr w:rsidR="00BE131B" w:rsidRPr="00BE131B" w:rsidSect="00A931C9">
      <w:pgSz w:w="12240" w:h="15840"/>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7E9DF3" w14:textId="77777777" w:rsidR="0010512C" w:rsidRDefault="0010512C" w:rsidP="004335A1">
      <w:r>
        <w:separator/>
      </w:r>
    </w:p>
  </w:endnote>
  <w:endnote w:type="continuationSeparator" w:id="0">
    <w:p w14:paraId="40A5C3F0" w14:textId="77777777" w:rsidR="0010512C" w:rsidRDefault="0010512C" w:rsidP="00433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EF5FD9" w14:textId="77777777" w:rsidR="0010512C" w:rsidRDefault="0010512C" w:rsidP="004335A1">
      <w:r>
        <w:separator/>
      </w:r>
    </w:p>
  </w:footnote>
  <w:footnote w:type="continuationSeparator" w:id="0">
    <w:p w14:paraId="6E541909" w14:textId="77777777" w:rsidR="0010512C" w:rsidRDefault="0010512C" w:rsidP="004335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168A5"/>
    <w:multiLevelType w:val="hybridMultilevel"/>
    <w:tmpl w:val="8DE2B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CE6D92"/>
    <w:multiLevelType w:val="hybridMultilevel"/>
    <w:tmpl w:val="72E64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F6689C"/>
    <w:multiLevelType w:val="multilevel"/>
    <w:tmpl w:val="F506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7F3BB4"/>
    <w:multiLevelType w:val="hybridMultilevel"/>
    <w:tmpl w:val="5A387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F93491"/>
    <w:multiLevelType w:val="hybridMultilevel"/>
    <w:tmpl w:val="ADE24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BE38B3"/>
    <w:multiLevelType w:val="hybridMultilevel"/>
    <w:tmpl w:val="4C50EF62"/>
    <w:lvl w:ilvl="0" w:tplc="500A0001">
      <w:start w:val="1"/>
      <w:numFmt w:val="bullet"/>
      <w:lvlText w:val=""/>
      <w:lvlJc w:val="left"/>
      <w:pPr>
        <w:ind w:left="1428" w:hanging="360"/>
      </w:pPr>
      <w:rPr>
        <w:rFonts w:ascii="Symbol" w:hAnsi="Symbol" w:hint="default"/>
      </w:rPr>
    </w:lvl>
    <w:lvl w:ilvl="1" w:tplc="500A0003" w:tentative="1">
      <w:start w:val="1"/>
      <w:numFmt w:val="bullet"/>
      <w:lvlText w:val="o"/>
      <w:lvlJc w:val="left"/>
      <w:pPr>
        <w:ind w:left="2148" w:hanging="360"/>
      </w:pPr>
      <w:rPr>
        <w:rFonts w:ascii="Courier New" w:hAnsi="Courier New" w:cs="Courier New" w:hint="default"/>
      </w:rPr>
    </w:lvl>
    <w:lvl w:ilvl="2" w:tplc="500A0005" w:tentative="1">
      <w:start w:val="1"/>
      <w:numFmt w:val="bullet"/>
      <w:lvlText w:val=""/>
      <w:lvlJc w:val="left"/>
      <w:pPr>
        <w:ind w:left="2868" w:hanging="360"/>
      </w:pPr>
      <w:rPr>
        <w:rFonts w:ascii="Wingdings" w:hAnsi="Wingdings" w:hint="default"/>
      </w:rPr>
    </w:lvl>
    <w:lvl w:ilvl="3" w:tplc="500A0001" w:tentative="1">
      <w:start w:val="1"/>
      <w:numFmt w:val="bullet"/>
      <w:lvlText w:val=""/>
      <w:lvlJc w:val="left"/>
      <w:pPr>
        <w:ind w:left="3588" w:hanging="360"/>
      </w:pPr>
      <w:rPr>
        <w:rFonts w:ascii="Symbol" w:hAnsi="Symbol" w:hint="default"/>
      </w:rPr>
    </w:lvl>
    <w:lvl w:ilvl="4" w:tplc="500A0003" w:tentative="1">
      <w:start w:val="1"/>
      <w:numFmt w:val="bullet"/>
      <w:lvlText w:val="o"/>
      <w:lvlJc w:val="left"/>
      <w:pPr>
        <w:ind w:left="4308" w:hanging="360"/>
      </w:pPr>
      <w:rPr>
        <w:rFonts w:ascii="Courier New" w:hAnsi="Courier New" w:cs="Courier New" w:hint="default"/>
      </w:rPr>
    </w:lvl>
    <w:lvl w:ilvl="5" w:tplc="500A0005" w:tentative="1">
      <w:start w:val="1"/>
      <w:numFmt w:val="bullet"/>
      <w:lvlText w:val=""/>
      <w:lvlJc w:val="left"/>
      <w:pPr>
        <w:ind w:left="5028" w:hanging="360"/>
      </w:pPr>
      <w:rPr>
        <w:rFonts w:ascii="Wingdings" w:hAnsi="Wingdings" w:hint="default"/>
      </w:rPr>
    </w:lvl>
    <w:lvl w:ilvl="6" w:tplc="500A0001" w:tentative="1">
      <w:start w:val="1"/>
      <w:numFmt w:val="bullet"/>
      <w:lvlText w:val=""/>
      <w:lvlJc w:val="left"/>
      <w:pPr>
        <w:ind w:left="5748" w:hanging="360"/>
      </w:pPr>
      <w:rPr>
        <w:rFonts w:ascii="Symbol" w:hAnsi="Symbol" w:hint="default"/>
      </w:rPr>
    </w:lvl>
    <w:lvl w:ilvl="7" w:tplc="500A0003" w:tentative="1">
      <w:start w:val="1"/>
      <w:numFmt w:val="bullet"/>
      <w:lvlText w:val="o"/>
      <w:lvlJc w:val="left"/>
      <w:pPr>
        <w:ind w:left="6468" w:hanging="360"/>
      </w:pPr>
      <w:rPr>
        <w:rFonts w:ascii="Courier New" w:hAnsi="Courier New" w:cs="Courier New" w:hint="default"/>
      </w:rPr>
    </w:lvl>
    <w:lvl w:ilvl="8" w:tplc="500A0005" w:tentative="1">
      <w:start w:val="1"/>
      <w:numFmt w:val="bullet"/>
      <w:lvlText w:val=""/>
      <w:lvlJc w:val="left"/>
      <w:pPr>
        <w:ind w:left="7188" w:hanging="360"/>
      </w:pPr>
      <w:rPr>
        <w:rFonts w:ascii="Wingdings" w:hAnsi="Wingdings" w:hint="default"/>
      </w:rPr>
    </w:lvl>
  </w:abstractNum>
  <w:abstractNum w:abstractNumId="6" w15:restartNumberingAfterBreak="0">
    <w:nsid w:val="6AC01054"/>
    <w:multiLevelType w:val="hybridMultilevel"/>
    <w:tmpl w:val="572206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4"/>
  </w:num>
  <w:num w:numId="4">
    <w:abstractNumId w:val="0"/>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11D"/>
    <w:rsid w:val="0001283A"/>
    <w:rsid w:val="00014B90"/>
    <w:rsid w:val="00014E13"/>
    <w:rsid w:val="00026D96"/>
    <w:rsid w:val="00040F05"/>
    <w:rsid w:val="00043AAA"/>
    <w:rsid w:val="00054789"/>
    <w:rsid w:val="00060C3E"/>
    <w:rsid w:val="00070CDE"/>
    <w:rsid w:val="00080853"/>
    <w:rsid w:val="00087CCF"/>
    <w:rsid w:val="000A401E"/>
    <w:rsid w:val="000C48E3"/>
    <w:rsid w:val="000D1665"/>
    <w:rsid w:val="000E5719"/>
    <w:rsid w:val="0010512C"/>
    <w:rsid w:val="001115C1"/>
    <w:rsid w:val="0013097F"/>
    <w:rsid w:val="00176684"/>
    <w:rsid w:val="001A4B79"/>
    <w:rsid w:val="001B5E69"/>
    <w:rsid w:val="001C7BFC"/>
    <w:rsid w:val="00217840"/>
    <w:rsid w:val="00223708"/>
    <w:rsid w:val="00225DD4"/>
    <w:rsid w:val="002458A7"/>
    <w:rsid w:val="002727A7"/>
    <w:rsid w:val="00297A3A"/>
    <w:rsid w:val="002D5A44"/>
    <w:rsid w:val="00365ED1"/>
    <w:rsid w:val="0036785E"/>
    <w:rsid w:val="003735BC"/>
    <w:rsid w:val="00390F3D"/>
    <w:rsid w:val="003A7094"/>
    <w:rsid w:val="003C4E5A"/>
    <w:rsid w:val="003C70B2"/>
    <w:rsid w:val="003D76F2"/>
    <w:rsid w:val="003F519B"/>
    <w:rsid w:val="003F606D"/>
    <w:rsid w:val="003F69A6"/>
    <w:rsid w:val="004151A1"/>
    <w:rsid w:val="00422E67"/>
    <w:rsid w:val="00431CC2"/>
    <w:rsid w:val="004335A1"/>
    <w:rsid w:val="004427E9"/>
    <w:rsid w:val="00450110"/>
    <w:rsid w:val="00456C5C"/>
    <w:rsid w:val="00525930"/>
    <w:rsid w:val="005302A3"/>
    <w:rsid w:val="005656A2"/>
    <w:rsid w:val="005C4608"/>
    <w:rsid w:val="005D4EDB"/>
    <w:rsid w:val="005F70B3"/>
    <w:rsid w:val="00626466"/>
    <w:rsid w:val="006435B0"/>
    <w:rsid w:val="006674E3"/>
    <w:rsid w:val="006B2C15"/>
    <w:rsid w:val="006E44AD"/>
    <w:rsid w:val="00723D72"/>
    <w:rsid w:val="00741BBE"/>
    <w:rsid w:val="00780319"/>
    <w:rsid w:val="007822B3"/>
    <w:rsid w:val="00794AC1"/>
    <w:rsid w:val="007A40C0"/>
    <w:rsid w:val="00803646"/>
    <w:rsid w:val="00805A19"/>
    <w:rsid w:val="008120B1"/>
    <w:rsid w:val="0082111E"/>
    <w:rsid w:val="008309C3"/>
    <w:rsid w:val="00845EC0"/>
    <w:rsid w:val="00864219"/>
    <w:rsid w:val="00886F97"/>
    <w:rsid w:val="008D2F96"/>
    <w:rsid w:val="008F1A2B"/>
    <w:rsid w:val="0091474E"/>
    <w:rsid w:val="00926773"/>
    <w:rsid w:val="00933298"/>
    <w:rsid w:val="00960987"/>
    <w:rsid w:val="00972DE9"/>
    <w:rsid w:val="009C5410"/>
    <w:rsid w:val="009D32D3"/>
    <w:rsid w:val="009E1D5A"/>
    <w:rsid w:val="00A14E27"/>
    <w:rsid w:val="00A322E0"/>
    <w:rsid w:val="00A435C0"/>
    <w:rsid w:val="00A53907"/>
    <w:rsid w:val="00A931C9"/>
    <w:rsid w:val="00AD4EE5"/>
    <w:rsid w:val="00AF2092"/>
    <w:rsid w:val="00AF25DD"/>
    <w:rsid w:val="00B03E1B"/>
    <w:rsid w:val="00B0488F"/>
    <w:rsid w:val="00B2239F"/>
    <w:rsid w:val="00B3311D"/>
    <w:rsid w:val="00B709C2"/>
    <w:rsid w:val="00B72878"/>
    <w:rsid w:val="00B84DFF"/>
    <w:rsid w:val="00B873A1"/>
    <w:rsid w:val="00BA0C96"/>
    <w:rsid w:val="00BB1268"/>
    <w:rsid w:val="00BE131B"/>
    <w:rsid w:val="00C243AA"/>
    <w:rsid w:val="00C40450"/>
    <w:rsid w:val="00CB2BF9"/>
    <w:rsid w:val="00CC691B"/>
    <w:rsid w:val="00CE1451"/>
    <w:rsid w:val="00CF5BF2"/>
    <w:rsid w:val="00D03215"/>
    <w:rsid w:val="00D1334E"/>
    <w:rsid w:val="00D2015F"/>
    <w:rsid w:val="00D34571"/>
    <w:rsid w:val="00D51722"/>
    <w:rsid w:val="00D75ED8"/>
    <w:rsid w:val="00D927EA"/>
    <w:rsid w:val="00DB52CD"/>
    <w:rsid w:val="00DE6FD6"/>
    <w:rsid w:val="00E259C5"/>
    <w:rsid w:val="00E313F9"/>
    <w:rsid w:val="00E55DD2"/>
    <w:rsid w:val="00E70403"/>
    <w:rsid w:val="00E74570"/>
    <w:rsid w:val="00E8211D"/>
    <w:rsid w:val="00EA292D"/>
    <w:rsid w:val="00EA55F8"/>
    <w:rsid w:val="00EA6E5C"/>
    <w:rsid w:val="00EB5E07"/>
    <w:rsid w:val="00EC6739"/>
    <w:rsid w:val="00ED00E1"/>
    <w:rsid w:val="00EE5561"/>
    <w:rsid w:val="00EF70EE"/>
    <w:rsid w:val="00F00E36"/>
    <w:rsid w:val="00F07A0F"/>
    <w:rsid w:val="00F15919"/>
    <w:rsid w:val="00F17DDE"/>
    <w:rsid w:val="00F3617B"/>
    <w:rsid w:val="00F46FAE"/>
    <w:rsid w:val="00F50CE4"/>
    <w:rsid w:val="00F714BE"/>
    <w:rsid w:val="00F87378"/>
    <w:rsid w:val="00F91291"/>
    <w:rsid w:val="00F92AFC"/>
    <w:rsid w:val="00FD0634"/>
    <w:rsid w:val="00FD22C3"/>
    <w:rsid w:val="00FD27FB"/>
    <w:rsid w:val="00FD4369"/>
    <w:rsid w:val="00FE0D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785BED"/>
  <w15:chartTrackingRefBased/>
  <w15:docId w15:val="{3DB3A948-A177-4623-828D-6D28C9FE6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6FA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3311D"/>
    <w:pPr>
      <w:autoSpaceDE w:val="0"/>
      <w:autoSpaceDN w:val="0"/>
      <w:adjustRightInd w:val="0"/>
      <w:spacing w:after="0" w:line="240" w:lineRule="auto"/>
    </w:pPr>
    <w:rPr>
      <w:rFonts w:ascii="Calisto MT" w:hAnsi="Calisto MT" w:cs="Calisto MT"/>
      <w:color w:val="000000"/>
      <w:sz w:val="24"/>
      <w:szCs w:val="24"/>
    </w:rPr>
  </w:style>
  <w:style w:type="paragraph" w:styleId="ListParagraph">
    <w:name w:val="List Paragraph"/>
    <w:basedOn w:val="Normal"/>
    <w:uiPriority w:val="34"/>
    <w:qFormat/>
    <w:rsid w:val="00390F3D"/>
    <w:pPr>
      <w:spacing w:after="160" w:line="259" w:lineRule="auto"/>
      <w:ind w:left="720"/>
      <w:contextualSpacing/>
    </w:pPr>
    <w:rPr>
      <w:rFonts w:asciiTheme="minorHAnsi" w:eastAsiaTheme="minorHAnsi" w:hAnsiTheme="minorHAnsi" w:cstheme="minorBidi"/>
      <w:sz w:val="22"/>
      <w:szCs w:val="22"/>
      <w:lang w:val="es-CO"/>
    </w:rPr>
  </w:style>
  <w:style w:type="character" w:styleId="Hyperlink">
    <w:name w:val="Hyperlink"/>
    <w:basedOn w:val="DefaultParagraphFont"/>
    <w:uiPriority w:val="99"/>
    <w:unhideWhenUsed/>
    <w:rsid w:val="00F87378"/>
    <w:rPr>
      <w:color w:val="0563C1" w:themeColor="hyperlink"/>
      <w:u w:val="single"/>
    </w:rPr>
  </w:style>
  <w:style w:type="character" w:customStyle="1" w:styleId="UnresolvedMention1">
    <w:name w:val="Unresolved Mention1"/>
    <w:basedOn w:val="DefaultParagraphFont"/>
    <w:uiPriority w:val="99"/>
    <w:semiHidden/>
    <w:unhideWhenUsed/>
    <w:rsid w:val="00F87378"/>
    <w:rPr>
      <w:color w:val="605E5C"/>
      <w:shd w:val="clear" w:color="auto" w:fill="E1DFDD"/>
    </w:rPr>
  </w:style>
  <w:style w:type="paragraph" w:styleId="Header">
    <w:name w:val="header"/>
    <w:basedOn w:val="Normal"/>
    <w:link w:val="HeaderChar"/>
    <w:uiPriority w:val="99"/>
    <w:unhideWhenUsed/>
    <w:rsid w:val="004335A1"/>
    <w:pPr>
      <w:tabs>
        <w:tab w:val="center" w:pos="4680"/>
        <w:tab w:val="right" w:pos="9360"/>
      </w:tabs>
    </w:pPr>
    <w:rPr>
      <w:rFonts w:asciiTheme="minorHAnsi" w:eastAsiaTheme="minorHAnsi" w:hAnsiTheme="minorHAnsi" w:cstheme="minorBidi"/>
      <w:sz w:val="22"/>
      <w:szCs w:val="22"/>
      <w:lang w:val="es-CO"/>
    </w:rPr>
  </w:style>
  <w:style w:type="character" w:customStyle="1" w:styleId="HeaderChar">
    <w:name w:val="Header Char"/>
    <w:basedOn w:val="DefaultParagraphFont"/>
    <w:link w:val="Header"/>
    <w:uiPriority w:val="99"/>
    <w:rsid w:val="004335A1"/>
  </w:style>
  <w:style w:type="paragraph" w:styleId="Footer">
    <w:name w:val="footer"/>
    <w:basedOn w:val="Normal"/>
    <w:link w:val="FooterChar"/>
    <w:uiPriority w:val="99"/>
    <w:unhideWhenUsed/>
    <w:rsid w:val="004335A1"/>
    <w:pPr>
      <w:tabs>
        <w:tab w:val="center" w:pos="4680"/>
        <w:tab w:val="right" w:pos="9360"/>
      </w:tabs>
    </w:pPr>
    <w:rPr>
      <w:rFonts w:asciiTheme="minorHAnsi" w:eastAsiaTheme="minorHAnsi" w:hAnsiTheme="minorHAnsi" w:cstheme="minorBidi"/>
      <w:sz w:val="22"/>
      <w:szCs w:val="22"/>
      <w:lang w:val="es-CO"/>
    </w:rPr>
  </w:style>
  <w:style w:type="character" w:customStyle="1" w:styleId="FooterChar">
    <w:name w:val="Footer Char"/>
    <w:basedOn w:val="DefaultParagraphFont"/>
    <w:link w:val="Footer"/>
    <w:uiPriority w:val="99"/>
    <w:rsid w:val="004335A1"/>
  </w:style>
  <w:style w:type="character" w:styleId="FollowedHyperlink">
    <w:name w:val="FollowedHyperlink"/>
    <w:basedOn w:val="DefaultParagraphFont"/>
    <w:uiPriority w:val="99"/>
    <w:semiHidden/>
    <w:unhideWhenUsed/>
    <w:rsid w:val="002458A7"/>
    <w:rPr>
      <w:color w:val="954F72" w:themeColor="followedHyperlink"/>
      <w:u w:val="single"/>
    </w:rPr>
  </w:style>
  <w:style w:type="paragraph" w:styleId="BalloonText">
    <w:name w:val="Balloon Text"/>
    <w:basedOn w:val="Normal"/>
    <w:link w:val="BalloonTextChar"/>
    <w:uiPriority w:val="99"/>
    <w:semiHidden/>
    <w:unhideWhenUsed/>
    <w:rsid w:val="00741B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1BBE"/>
    <w:rPr>
      <w:rFonts w:ascii="Segoe UI" w:eastAsia="Times New Roman" w:hAnsi="Segoe UI" w:cs="Segoe UI"/>
      <w:sz w:val="18"/>
      <w:szCs w:val="18"/>
      <w:lang w:val="en-US"/>
    </w:rPr>
  </w:style>
  <w:style w:type="paragraph" w:styleId="FootnoteText">
    <w:name w:val="footnote text"/>
    <w:basedOn w:val="Normal"/>
    <w:link w:val="FootnoteTextChar"/>
    <w:uiPriority w:val="99"/>
    <w:semiHidden/>
    <w:unhideWhenUsed/>
    <w:rsid w:val="00014B90"/>
    <w:rPr>
      <w:rFonts w:asciiTheme="minorHAnsi" w:eastAsiaTheme="minorHAnsi" w:hAnsiTheme="minorHAnsi" w:cstheme="minorBidi"/>
      <w:sz w:val="20"/>
      <w:szCs w:val="20"/>
      <w:lang w:val="es-ES"/>
    </w:rPr>
  </w:style>
  <w:style w:type="character" w:customStyle="1" w:styleId="FootnoteTextChar">
    <w:name w:val="Footnote Text Char"/>
    <w:basedOn w:val="DefaultParagraphFont"/>
    <w:link w:val="FootnoteText"/>
    <w:uiPriority w:val="99"/>
    <w:semiHidden/>
    <w:rsid w:val="00014B90"/>
    <w:rPr>
      <w:sz w:val="20"/>
      <w:szCs w:val="20"/>
      <w:lang w:val="es-ES"/>
    </w:rPr>
  </w:style>
  <w:style w:type="character" w:styleId="FootnoteReference">
    <w:name w:val="footnote reference"/>
    <w:basedOn w:val="DefaultParagraphFont"/>
    <w:uiPriority w:val="99"/>
    <w:semiHidden/>
    <w:unhideWhenUsed/>
    <w:rsid w:val="00014B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39394">
      <w:bodyDiv w:val="1"/>
      <w:marLeft w:val="0"/>
      <w:marRight w:val="0"/>
      <w:marTop w:val="0"/>
      <w:marBottom w:val="0"/>
      <w:divBdr>
        <w:top w:val="none" w:sz="0" w:space="0" w:color="auto"/>
        <w:left w:val="none" w:sz="0" w:space="0" w:color="auto"/>
        <w:bottom w:val="none" w:sz="0" w:space="0" w:color="auto"/>
        <w:right w:val="none" w:sz="0" w:space="0" w:color="auto"/>
      </w:divBdr>
    </w:div>
    <w:div w:id="390352469">
      <w:bodyDiv w:val="1"/>
      <w:marLeft w:val="0"/>
      <w:marRight w:val="0"/>
      <w:marTop w:val="0"/>
      <w:marBottom w:val="0"/>
      <w:divBdr>
        <w:top w:val="none" w:sz="0" w:space="0" w:color="auto"/>
        <w:left w:val="none" w:sz="0" w:space="0" w:color="auto"/>
        <w:bottom w:val="none" w:sz="0" w:space="0" w:color="auto"/>
        <w:right w:val="none" w:sz="0" w:space="0" w:color="auto"/>
      </w:divBdr>
    </w:div>
    <w:div w:id="438573269">
      <w:bodyDiv w:val="1"/>
      <w:marLeft w:val="0"/>
      <w:marRight w:val="0"/>
      <w:marTop w:val="0"/>
      <w:marBottom w:val="0"/>
      <w:divBdr>
        <w:top w:val="none" w:sz="0" w:space="0" w:color="auto"/>
        <w:left w:val="none" w:sz="0" w:space="0" w:color="auto"/>
        <w:bottom w:val="none" w:sz="0" w:space="0" w:color="auto"/>
        <w:right w:val="none" w:sz="0" w:space="0" w:color="auto"/>
      </w:divBdr>
    </w:div>
    <w:div w:id="1188719446">
      <w:bodyDiv w:val="1"/>
      <w:marLeft w:val="0"/>
      <w:marRight w:val="0"/>
      <w:marTop w:val="0"/>
      <w:marBottom w:val="0"/>
      <w:divBdr>
        <w:top w:val="none" w:sz="0" w:space="0" w:color="auto"/>
        <w:left w:val="none" w:sz="0" w:space="0" w:color="auto"/>
        <w:bottom w:val="none" w:sz="0" w:space="0" w:color="auto"/>
        <w:right w:val="none" w:sz="0" w:space="0" w:color="auto"/>
      </w:divBdr>
      <w:divsChild>
        <w:div w:id="269632108">
          <w:marLeft w:val="0"/>
          <w:marRight w:val="0"/>
          <w:marTop w:val="0"/>
          <w:marBottom w:val="0"/>
          <w:divBdr>
            <w:top w:val="none" w:sz="0" w:space="0" w:color="auto"/>
            <w:left w:val="none" w:sz="0" w:space="0" w:color="auto"/>
            <w:bottom w:val="none" w:sz="0" w:space="0" w:color="auto"/>
            <w:right w:val="none" w:sz="0" w:space="0" w:color="auto"/>
          </w:divBdr>
        </w:div>
        <w:div w:id="1130322301">
          <w:marLeft w:val="0"/>
          <w:marRight w:val="0"/>
          <w:marTop w:val="0"/>
          <w:marBottom w:val="0"/>
          <w:divBdr>
            <w:top w:val="none" w:sz="0" w:space="0" w:color="auto"/>
            <w:left w:val="none" w:sz="0" w:space="0" w:color="auto"/>
            <w:bottom w:val="none" w:sz="0" w:space="0" w:color="auto"/>
            <w:right w:val="none" w:sz="0" w:space="0" w:color="auto"/>
          </w:divBdr>
        </w:div>
        <w:div w:id="1092361252">
          <w:marLeft w:val="0"/>
          <w:marRight w:val="0"/>
          <w:marTop w:val="0"/>
          <w:marBottom w:val="0"/>
          <w:divBdr>
            <w:top w:val="none" w:sz="0" w:space="0" w:color="auto"/>
            <w:left w:val="none" w:sz="0" w:space="0" w:color="auto"/>
            <w:bottom w:val="none" w:sz="0" w:space="0" w:color="auto"/>
            <w:right w:val="none" w:sz="0" w:space="0" w:color="auto"/>
          </w:divBdr>
        </w:div>
        <w:div w:id="515734977">
          <w:marLeft w:val="0"/>
          <w:marRight w:val="0"/>
          <w:marTop w:val="0"/>
          <w:marBottom w:val="0"/>
          <w:divBdr>
            <w:top w:val="none" w:sz="0" w:space="0" w:color="auto"/>
            <w:left w:val="none" w:sz="0" w:space="0" w:color="auto"/>
            <w:bottom w:val="none" w:sz="0" w:space="0" w:color="auto"/>
            <w:right w:val="none" w:sz="0" w:space="0" w:color="auto"/>
          </w:divBdr>
        </w:div>
        <w:div w:id="1338338253">
          <w:marLeft w:val="0"/>
          <w:marRight w:val="0"/>
          <w:marTop w:val="0"/>
          <w:marBottom w:val="0"/>
          <w:divBdr>
            <w:top w:val="none" w:sz="0" w:space="0" w:color="auto"/>
            <w:left w:val="none" w:sz="0" w:space="0" w:color="auto"/>
            <w:bottom w:val="none" w:sz="0" w:space="0" w:color="auto"/>
            <w:right w:val="none" w:sz="0" w:space="0" w:color="auto"/>
          </w:divBdr>
          <w:divsChild>
            <w:div w:id="53931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544173">
      <w:bodyDiv w:val="1"/>
      <w:marLeft w:val="0"/>
      <w:marRight w:val="0"/>
      <w:marTop w:val="0"/>
      <w:marBottom w:val="0"/>
      <w:divBdr>
        <w:top w:val="none" w:sz="0" w:space="0" w:color="auto"/>
        <w:left w:val="none" w:sz="0" w:space="0" w:color="auto"/>
        <w:bottom w:val="none" w:sz="0" w:space="0" w:color="auto"/>
        <w:right w:val="none" w:sz="0" w:space="0" w:color="auto"/>
      </w:divBdr>
    </w:div>
    <w:div w:id="1606645712">
      <w:bodyDiv w:val="1"/>
      <w:marLeft w:val="0"/>
      <w:marRight w:val="0"/>
      <w:marTop w:val="0"/>
      <w:marBottom w:val="0"/>
      <w:divBdr>
        <w:top w:val="none" w:sz="0" w:space="0" w:color="auto"/>
        <w:left w:val="none" w:sz="0" w:space="0" w:color="auto"/>
        <w:bottom w:val="none" w:sz="0" w:space="0" w:color="auto"/>
        <w:right w:val="none" w:sz="0" w:space="0" w:color="auto"/>
      </w:divBdr>
    </w:div>
    <w:div w:id="1644458618">
      <w:bodyDiv w:val="1"/>
      <w:marLeft w:val="0"/>
      <w:marRight w:val="0"/>
      <w:marTop w:val="0"/>
      <w:marBottom w:val="0"/>
      <w:divBdr>
        <w:top w:val="none" w:sz="0" w:space="0" w:color="auto"/>
        <w:left w:val="none" w:sz="0" w:space="0" w:color="auto"/>
        <w:bottom w:val="none" w:sz="0" w:space="0" w:color="auto"/>
        <w:right w:val="none" w:sz="0" w:space="0" w:color="auto"/>
      </w:divBdr>
    </w:div>
    <w:div w:id="1645044142">
      <w:bodyDiv w:val="1"/>
      <w:marLeft w:val="0"/>
      <w:marRight w:val="0"/>
      <w:marTop w:val="0"/>
      <w:marBottom w:val="0"/>
      <w:divBdr>
        <w:top w:val="none" w:sz="0" w:space="0" w:color="auto"/>
        <w:left w:val="none" w:sz="0" w:space="0" w:color="auto"/>
        <w:bottom w:val="none" w:sz="0" w:space="0" w:color="auto"/>
        <w:right w:val="none" w:sz="0" w:space="0" w:color="auto"/>
      </w:divBdr>
    </w:div>
    <w:div w:id="1648781297">
      <w:bodyDiv w:val="1"/>
      <w:marLeft w:val="0"/>
      <w:marRight w:val="0"/>
      <w:marTop w:val="0"/>
      <w:marBottom w:val="0"/>
      <w:divBdr>
        <w:top w:val="none" w:sz="0" w:space="0" w:color="auto"/>
        <w:left w:val="none" w:sz="0" w:space="0" w:color="auto"/>
        <w:bottom w:val="none" w:sz="0" w:space="0" w:color="auto"/>
        <w:right w:val="none" w:sz="0" w:space="0" w:color="auto"/>
      </w:divBdr>
    </w:div>
    <w:div w:id="1749568970">
      <w:bodyDiv w:val="1"/>
      <w:marLeft w:val="0"/>
      <w:marRight w:val="0"/>
      <w:marTop w:val="0"/>
      <w:marBottom w:val="0"/>
      <w:divBdr>
        <w:top w:val="none" w:sz="0" w:space="0" w:color="auto"/>
        <w:left w:val="none" w:sz="0" w:space="0" w:color="auto"/>
        <w:bottom w:val="none" w:sz="0" w:space="0" w:color="auto"/>
        <w:right w:val="none" w:sz="0" w:space="0" w:color="auto"/>
      </w:divBdr>
      <w:divsChild>
        <w:div w:id="1432504975">
          <w:marLeft w:val="446"/>
          <w:marRight w:val="0"/>
          <w:marTop w:val="0"/>
          <w:marBottom w:val="0"/>
          <w:divBdr>
            <w:top w:val="none" w:sz="0" w:space="0" w:color="auto"/>
            <w:left w:val="none" w:sz="0" w:space="0" w:color="auto"/>
            <w:bottom w:val="none" w:sz="0" w:space="0" w:color="auto"/>
            <w:right w:val="none" w:sz="0" w:space="0" w:color="auto"/>
          </w:divBdr>
        </w:div>
        <w:div w:id="626935034">
          <w:marLeft w:val="446"/>
          <w:marRight w:val="0"/>
          <w:marTop w:val="0"/>
          <w:marBottom w:val="0"/>
          <w:divBdr>
            <w:top w:val="none" w:sz="0" w:space="0" w:color="auto"/>
            <w:left w:val="none" w:sz="0" w:space="0" w:color="auto"/>
            <w:bottom w:val="none" w:sz="0" w:space="0" w:color="auto"/>
            <w:right w:val="none" w:sz="0" w:space="0" w:color="auto"/>
          </w:divBdr>
        </w:div>
        <w:div w:id="1913153829">
          <w:marLeft w:val="446"/>
          <w:marRight w:val="0"/>
          <w:marTop w:val="0"/>
          <w:marBottom w:val="0"/>
          <w:divBdr>
            <w:top w:val="none" w:sz="0" w:space="0" w:color="auto"/>
            <w:left w:val="none" w:sz="0" w:space="0" w:color="auto"/>
            <w:bottom w:val="none" w:sz="0" w:space="0" w:color="auto"/>
            <w:right w:val="none" w:sz="0" w:space="0" w:color="auto"/>
          </w:divBdr>
        </w:div>
        <w:div w:id="188496219">
          <w:marLeft w:val="446"/>
          <w:marRight w:val="0"/>
          <w:marTop w:val="0"/>
          <w:marBottom w:val="0"/>
          <w:divBdr>
            <w:top w:val="none" w:sz="0" w:space="0" w:color="auto"/>
            <w:left w:val="none" w:sz="0" w:space="0" w:color="auto"/>
            <w:bottom w:val="none" w:sz="0" w:space="0" w:color="auto"/>
            <w:right w:val="none" w:sz="0" w:space="0" w:color="auto"/>
          </w:divBdr>
        </w:div>
        <w:div w:id="2014988258">
          <w:marLeft w:val="446"/>
          <w:marRight w:val="0"/>
          <w:marTop w:val="0"/>
          <w:marBottom w:val="0"/>
          <w:divBdr>
            <w:top w:val="none" w:sz="0" w:space="0" w:color="auto"/>
            <w:left w:val="none" w:sz="0" w:space="0" w:color="auto"/>
            <w:bottom w:val="none" w:sz="0" w:space="0" w:color="auto"/>
            <w:right w:val="none" w:sz="0" w:space="0" w:color="auto"/>
          </w:divBdr>
        </w:div>
        <w:div w:id="1162771398">
          <w:marLeft w:val="446"/>
          <w:marRight w:val="0"/>
          <w:marTop w:val="0"/>
          <w:marBottom w:val="0"/>
          <w:divBdr>
            <w:top w:val="none" w:sz="0" w:space="0" w:color="auto"/>
            <w:left w:val="none" w:sz="0" w:space="0" w:color="auto"/>
            <w:bottom w:val="none" w:sz="0" w:space="0" w:color="auto"/>
            <w:right w:val="none" w:sz="0" w:space="0" w:color="auto"/>
          </w:divBdr>
        </w:div>
        <w:div w:id="457260099">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2ED92E-3CA9-4BB9-914B-5F8D84395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Pages>
  <Words>407</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NIKXA I RIVERA BERRIOS</dc:creator>
  <cp:keywords/>
  <dc:description/>
  <cp:lastModifiedBy>Iris Rosario Nieves</cp:lastModifiedBy>
  <cp:revision>3</cp:revision>
  <cp:lastPrinted>2022-06-15T21:24:00Z</cp:lastPrinted>
  <dcterms:created xsi:type="dcterms:W3CDTF">2023-09-27T14:59:00Z</dcterms:created>
  <dcterms:modified xsi:type="dcterms:W3CDTF">2023-09-27T17:14:00Z</dcterms:modified>
</cp:coreProperties>
</file>